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9630" w:type="dxa"/>
        <w:tblInd w:w="-1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487"/>
        <w:gridCol w:w="7143"/>
      </w:tblGrid>
      <w:tr w:rsidR="009E10B3" w:rsidRPr="009E10B3" w14:paraId="43BF4B66" w14:textId="77777777" w:rsidTr="009E10B3">
        <w:tc>
          <w:tcPr>
            <w:tcW w:w="963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pct12" w:color="auto" w:fill="FFFFFF"/>
          </w:tcPr>
          <w:p w14:paraId="3725E497" w14:textId="77777777" w:rsidR="009E10B3" w:rsidRPr="009E10B3" w:rsidRDefault="009E10B3" w:rsidP="009E10B3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9E10B3">
              <w:rPr>
                <w:rFonts w:ascii="Times New Roman" w:hAnsi="Times New Roman" w:cs="Times New Roman"/>
                <w:b/>
                <w:bCs/>
                <w:lang w:bidi="ar-JO"/>
              </w:rPr>
              <w:t>Educational Sources</w:t>
            </w:r>
          </w:p>
        </w:tc>
      </w:tr>
      <w:tr w:rsidR="009E10B3" w:rsidRPr="009E10B3" w14:paraId="41FD0C28" w14:textId="77777777" w:rsidTr="009E10B3">
        <w:tc>
          <w:tcPr>
            <w:tcW w:w="2487" w:type="dxa"/>
            <w:tcBorders>
              <w:top w:val="single" w:sz="4" w:space="0" w:color="auto"/>
            </w:tcBorders>
            <w:shd w:val="clear" w:color="auto" w:fill="D9D9D9"/>
          </w:tcPr>
          <w:p w14:paraId="1CBC5A07" w14:textId="77777777" w:rsidR="009E10B3" w:rsidRPr="009E10B3" w:rsidRDefault="009E10B3" w:rsidP="009E10B3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9E10B3">
              <w:rPr>
                <w:rFonts w:ascii="Times New Roman" w:hAnsi="Times New Roman" w:cs="Times New Roman"/>
                <w:b/>
                <w:bCs/>
                <w:lang w:bidi="ar-JO"/>
              </w:rPr>
              <w:t>Required Text(s)</w:t>
            </w:r>
          </w:p>
        </w:tc>
        <w:tc>
          <w:tcPr>
            <w:tcW w:w="7143" w:type="dxa"/>
            <w:tcBorders>
              <w:top w:val="single" w:sz="4" w:space="0" w:color="auto"/>
            </w:tcBorders>
            <w:shd w:val="clear" w:color="auto" w:fill="FFFFFF"/>
          </w:tcPr>
          <w:p w14:paraId="00D68D72" w14:textId="77777777" w:rsidR="009E10B3" w:rsidRPr="009E10B3" w:rsidRDefault="009E10B3" w:rsidP="009E10B3">
            <w:pPr>
              <w:jc w:val="both"/>
              <w:rPr>
                <w:rFonts w:ascii="Times New Roman" w:hAnsi="Times New Roman" w:cs="Times New Roman"/>
                <w:color w:val="A6A6A6"/>
                <w:lang w:bidi="ar-JO"/>
              </w:rPr>
            </w:pPr>
            <w:r w:rsidRPr="009E10B3">
              <w:rPr>
                <w:rFonts w:ascii="Times New Roman" w:hAnsi="Times New Roman" w:cs="Times New Roman"/>
                <w:lang w:bidi="ar-JO"/>
              </w:rPr>
              <w:t>Hinkle, J., Overbaugh, K., &amp; Cheever, K. (2022). Brunner and Suddarth's textbook of medical surgical nursing (15th Ed.). Philadelphia, PA.</w:t>
            </w:r>
          </w:p>
        </w:tc>
      </w:tr>
      <w:tr w:rsidR="009E10B3" w:rsidRPr="009E10B3" w14:paraId="2647E24A" w14:textId="77777777" w:rsidTr="009E10B3">
        <w:tc>
          <w:tcPr>
            <w:tcW w:w="2487" w:type="dxa"/>
            <w:shd w:val="clear" w:color="auto" w:fill="D9D9D9"/>
          </w:tcPr>
          <w:p w14:paraId="23C827C9" w14:textId="77777777" w:rsidR="009E10B3" w:rsidRPr="009E10B3" w:rsidRDefault="009E10B3" w:rsidP="009E10B3">
            <w:pPr>
              <w:rPr>
                <w:rFonts w:ascii="Times New Roman" w:hAnsi="Times New Roman" w:cs="Times New Roman"/>
                <w:b/>
                <w:bCs/>
                <w:lang w:bidi="ar-JO"/>
              </w:rPr>
            </w:pPr>
            <w:r w:rsidRPr="009E10B3">
              <w:rPr>
                <w:rFonts w:ascii="Times New Roman" w:hAnsi="Times New Roman" w:cs="Times New Roman"/>
                <w:b/>
                <w:bCs/>
                <w:lang w:bidi="ar-JO"/>
              </w:rPr>
              <w:t>Supportive References</w:t>
            </w:r>
          </w:p>
        </w:tc>
        <w:tc>
          <w:tcPr>
            <w:tcW w:w="7143" w:type="dxa"/>
            <w:shd w:val="clear" w:color="auto" w:fill="FFFFFF"/>
          </w:tcPr>
          <w:p w14:paraId="50AB1360" w14:textId="77777777" w:rsidR="009E10B3" w:rsidRPr="009E10B3" w:rsidRDefault="009E10B3" w:rsidP="009E10B3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color w:val="A6A6A6"/>
                <w:lang w:bidi="ar-JO"/>
              </w:rPr>
            </w:pPr>
            <w:r w:rsidRPr="009E10B3">
              <w:rPr>
                <w:rFonts w:ascii="Times New Roman" w:hAnsi="Times New Roman" w:cs="Times New Roman"/>
                <w:lang w:bidi="ar-JO"/>
              </w:rPr>
              <w:t>Berman, A., Snyder, S.,</w:t>
            </w:r>
            <w:r w:rsidRPr="009E10B3">
              <w:rPr>
                <w:rFonts w:ascii="Times New Roman" w:hAnsi="Times New Roman" w:cs="Times New Roman"/>
              </w:rPr>
              <w:t xml:space="preserve"> &amp; </w:t>
            </w:r>
            <w:r w:rsidRPr="009E10B3">
              <w:rPr>
                <w:rFonts w:ascii="Times New Roman" w:hAnsi="Times New Roman" w:cs="Times New Roman"/>
                <w:lang w:bidi="ar-JO"/>
              </w:rPr>
              <w:t>Frandsen, G. (2020). Kozier &amp; Erb's Fundamentals of Nursing: Concepts, Process and Practice (11</w:t>
            </w:r>
            <w:r w:rsidRPr="009E10B3">
              <w:rPr>
                <w:rFonts w:ascii="Times New Roman" w:hAnsi="Times New Roman" w:cs="Times New Roman"/>
                <w:vertAlign w:val="superscript"/>
                <w:lang w:bidi="ar-JO"/>
              </w:rPr>
              <w:t>th</w:t>
            </w:r>
            <w:r w:rsidRPr="009E10B3">
              <w:rPr>
                <w:rFonts w:ascii="Times New Roman" w:hAnsi="Times New Roman" w:cs="Times New Roman"/>
                <w:lang w:bidi="ar-JO"/>
              </w:rPr>
              <w:t xml:space="preserve"> Ed.). Pearson.</w:t>
            </w:r>
            <w:r w:rsidRPr="009E10B3">
              <w:rPr>
                <w:rFonts w:ascii="Times New Roman" w:hAnsi="Times New Roman" w:cs="Times New Roman"/>
              </w:rPr>
              <w:t xml:space="preserve"> </w:t>
            </w:r>
            <w:r w:rsidRPr="009E10B3">
              <w:rPr>
                <w:rFonts w:ascii="Times New Roman" w:hAnsi="Times New Roman" w:cs="Times New Roman"/>
                <w:lang w:bidi="ar-JO"/>
              </w:rPr>
              <w:t xml:space="preserve">ISBN-13: 9780136872986 </w:t>
            </w:r>
          </w:p>
          <w:p w14:paraId="4E131D0B" w14:textId="77777777" w:rsidR="009E10B3" w:rsidRPr="009E10B3" w:rsidRDefault="009E10B3" w:rsidP="009E10B3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color w:val="A6A6A6"/>
                <w:lang w:bidi="ar-JO"/>
              </w:rPr>
            </w:pPr>
            <w:r w:rsidRPr="009E10B3">
              <w:rPr>
                <w:rFonts w:ascii="Calibri" w:hAnsi="Calibri" w:cs="Arial"/>
              </w:rPr>
              <w:t xml:space="preserve">Lippincott Procedures. </w:t>
            </w:r>
            <w:hyperlink r:id="rId5" w:history="1">
              <w:r w:rsidRPr="009E10B3">
                <w:rPr>
                  <w:rFonts w:ascii="Calibri" w:hAnsi="Calibri" w:cs="Arial"/>
                  <w:color w:val="0000FF"/>
                  <w:u w:val="single"/>
                </w:rPr>
                <w:t>https://www.wolterskluwer.com/en/solutions/lippincott-solutions</w:t>
              </w:r>
            </w:hyperlink>
            <w:r w:rsidRPr="009E10B3">
              <w:rPr>
                <w:rFonts w:ascii="Calibri" w:hAnsi="Calibri" w:cs="Arial"/>
              </w:rPr>
              <w:t xml:space="preserve"> /</w:t>
            </w:r>
            <w:proofErr w:type="spellStart"/>
            <w:r w:rsidRPr="009E10B3">
              <w:rPr>
                <w:rFonts w:ascii="Calibri" w:hAnsi="Calibri" w:cs="Arial"/>
              </w:rPr>
              <w:t>lippincott</w:t>
            </w:r>
            <w:proofErr w:type="spellEnd"/>
            <w:r w:rsidRPr="009E10B3">
              <w:rPr>
                <w:rFonts w:ascii="Calibri" w:hAnsi="Calibri" w:cs="Arial"/>
              </w:rPr>
              <w:t>-procedure</w:t>
            </w:r>
          </w:p>
          <w:p w14:paraId="4E4E20A9" w14:textId="77777777" w:rsidR="009E10B3" w:rsidRPr="009E10B3" w:rsidRDefault="009E10B3" w:rsidP="009E10B3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color w:val="A6A6A6"/>
                <w:lang w:bidi="ar-JO"/>
              </w:rPr>
            </w:pPr>
          </w:p>
        </w:tc>
      </w:tr>
    </w:tbl>
    <w:p w14:paraId="59D88713" w14:textId="77777777" w:rsidR="00BB7CF7" w:rsidRPr="009E10B3" w:rsidRDefault="00BB7CF7">
      <w:pPr>
        <w:rPr>
          <w:lang w:val="en-GB"/>
        </w:rPr>
      </w:pPr>
    </w:p>
    <w:sectPr w:rsidR="00BB7CF7" w:rsidRPr="009E10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F5A3A"/>
    <w:multiLevelType w:val="hybridMultilevel"/>
    <w:tmpl w:val="DF0C8B2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8779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8A0"/>
    <w:rsid w:val="0055378D"/>
    <w:rsid w:val="009373AF"/>
    <w:rsid w:val="009E10B3"/>
    <w:rsid w:val="00B46441"/>
    <w:rsid w:val="00BB7CF7"/>
    <w:rsid w:val="00C2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5B28EDD-627D-4C63-8A6C-CB98927A8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68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68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68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68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68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68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68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68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68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68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68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68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68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68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68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68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68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68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68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68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68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68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68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68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68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68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68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68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68A0"/>
    <w:rPr>
      <w:b/>
      <w:bCs/>
      <w:smallCaps/>
      <w:color w:val="2F5496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9E10B3"/>
    <w:pPr>
      <w:spacing w:after="0" w:line="240" w:lineRule="auto"/>
    </w:pPr>
    <w:rPr>
      <w:rFonts w:eastAsia="Times New Roman"/>
      <w:kern w:val="0"/>
      <w:sz w:val="22"/>
      <w:szCs w:val="22"/>
      <w:lang w:val="en-GB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E1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olterskluwer.com/en/solutions/lippincott-solution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Safaa Hammad</dc:creator>
  <cp:keywords/>
  <dc:description/>
  <cp:lastModifiedBy>Safaa Hammad</cp:lastModifiedBy>
  <cp:revision>2</cp:revision>
  <dcterms:created xsi:type="dcterms:W3CDTF">2026-07-14T10:14:00Z</dcterms:created>
  <dcterms:modified xsi:type="dcterms:W3CDTF">2026-07-14T10:15:00Z</dcterms:modified>
</cp:coreProperties>
</file>