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EBA90" w14:textId="482AD8A3" w:rsidR="003D1925" w:rsidRDefault="00B34AF4">
      <w:r>
        <w:rPr>
          <w:b/>
        </w:rPr>
        <w:t xml:space="preserve">                                                                              </w:t>
      </w:r>
      <w:r w:rsidR="00000000">
        <w:rPr>
          <w:b/>
        </w:rPr>
        <w:t>Appendix E</w:t>
      </w:r>
    </w:p>
    <w:p w14:paraId="5DE7F13D" w14:textId="29A119AC" w:rsidR="003D1925" w:rsidRDefault="00B34AF4">
      <w:r>
        <w:rPr>
          <w:b/>
        </w:rPr>
        <w:t xml:space="preserve">                                                            </w:t>
      </w:r>
      <w:r w:rsidR="00000000">
        <w:rPr>
          <w:b/>
        </w:rPr>
        <w:t>Final Written Exam Blueprint</w:t>
      </w:r>
    </w:p>
    <w:p w14:paraId="261EA394" w14:textId="77777777" w:rsidR="003D1925" w:rsidRDefault="003D1925"/>
    <w:p w14:paraId="3C8BE12E" w14:textId="77777777" w:rsidR="00B34AF4" w:rsidRPr="00FE0641" w:rsidRDefault="00B34AF4" w:rsidP="00B34AF4">
      <w:pPr>
        <w:spacing w:after="0" w:line="240" w:lineRule="auto"/>
        <w:rPr>
          <w:rFonts w:asciiTheme="majorBidi" w:eastAsia="Times New Roman" w:hAnsiTheme="majorBidi" w:cstheme="majorBidi"/>
          <w:color w:val="1F1F1F"/>
        </w:rPr>
      </w:pPr>
      <w:r w:rsidRPr="00267F00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>Final</w:t>
      </w:r>
      <w:r w:rsidRPr="00FE0641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 xml:space="preserve"> Written </w:t>
      </w:r>
      <w:r w:rsidRPr="00267F00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 xml:space="preserve">Exam </w:t>
      </w:r>
      <w:r w:rsidRPr="00FE0641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>is a comprehensive assessment that evaluates the student’s ability to apply nursing concepts, analysis, and decision-making for safe practice. The exam is computer-based, consisting of 100 (MCQs) with a total duration of 120 minutes.</w:t>
      </w:r>
    </w:p>
    <w:p w14:paraId="5D4A648C" w14:textId="77777777" w:rsidR="00B34AF4" w:rsidRPr="00FE0641" w:rsidRDefault="00B34AF4" w:rsidP="00B34AF4">
      <w:pPr>
        <w:spacing w:after="120" w:line="240" w:lineRule="auto"/>
        <w:rPr>
          <w:rFonts w:asciiTheme="majorBidi" w:eastAsia="Times New Roman" w:hAnsiTheme="majorBidi" w:cstheme="majorBidi"/>
          <w:color w:val="1F1F1F"/>
        </w:rPr>
      </w:pPr>
    </w:p>
    <w:p w14:paraId="0A00299A" w14:textId="77777777" w:rsidR="00B34AF4" w:rsidRPr="00FE0641" w:rsidRDefault="00B34AF4" w:rsidP="00B34AF4">
      <w:pPr>
        <w:spacing w:after="0" w:line="240" w:lineRule="auto"/>
        <w:outlineLvl w:val="2"/>
        <w:rPr>
          <w:rFonts w:asciiTheme="majorBidi" w:eastAsia="Times New Roman" w:hAnsiTheme="majorBidi" w:cstheme="majorBidi"/>
          <w:b/>
          <w:bCs/>
          <w:color w:val="1F1F1F"/>
        </w:rPr>
      </w:pPr>
      <w:r w:rsidRPr="00FE0641">
        <w:rPr>
          <w:rFonts w:asciiTheme="majorBidi" w:eastAsia="Times New Roman" w:hAnsiTheme="majorBidi" w:cstheme="majorBidi"/>
          <w:b/>
          <w:bCs/>
          <w:color w:val="1F1F1F"/>
          <w:bdr w:val="none" w:sz="0" w:space="0" w:color="auto" w:frame="1"/>
        </w:rPr>
        <w:t>I. Major Nursing Domains (Question Distribution)</w:t>
      </w:r>
    </w:p>
    <w:p w14:paraId="4348AB26" w14:textId="77777777" w:rsidR="00B34AF4" w:rsidRPr="00FE0641" w:rsidRDefault="00B34AF4" w:rsidP="00B34AF4">
      <w:pPr>
        <w:spacing w:after="0" w:line="240" w:lineRule="auto"/>
        <w:rPr>
          <w:rFonts w:asciiTheme="majorBidi" w:eastAsia="Times New Roman" w:hAnsiTheme="majorBidi" w:cstheme="majorBidi"/>
          <w:color w:val="1F1F1F"/>
        </w:rPr>
      </w:pPr>
      <w:r w:rsidRPr="00FE0641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>The exam is structured across six main nursing domains. The following table outlines the specific number of questions allocated to each domain to ensure a balanced assessment of clinical expertise.</w:t>
      </w:r>
    </w:p>
    <w:p w14:paraId="55DA9F1B" w14:textId="77777777" w:rsidR="00B34AF4" w:rsidRPr="00FE0641" w:rsidRDefault="00B34AF4" w:rsidP="00B34AF4">
      <w:pPr>
        <w:spacing w:after="0" w:line="240" w:lineRule="auto"/>
        <w:rPr>
          <w:rFonts w:asciiTheme="majorBidi" w:eastAsia="Times New Roman" w:hAnsiTheme="majorBidi" w:cstheme="majorBidi"/>
          <w:color w:val="1F1F1F"/>
        </w:rPr>
      </w:pPr>
    </w:p>
    <w:tbl>
      <w:tblPr>
        <w:tblStyle w:val="TableGridLight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2221"/>
        <w:gridCol w:w="1322"/>
      </w:tblGrid>
      <w:tr w:rsidR="00B34AF4" w:rsidRPr="00FE0641" w14:paraId="54EAAA3A" w14:textId="77777777" w:rsidTr="001F66B4">
        <w:tc>
          <w:tcPr>
            <w:tcW w:w="0" w:type="auto"/>
            <w:shd w:val="clear" w:color="auto" w:fill="F2F2F2" w:themeFill="background1" w:themeFillShade="F2"/>
            <w:hideMark/>
          </w:tcPr>
          <w:p w14:paraId="57BA37CD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Main Nursing Domain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DFB9F72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Number of Questions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920A870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Weight (%)</w:t>
            </w:r>
          </w:p>
        </w:tc>
      </w:tr>
      <w:tr w:rsidR="00B34AF4" w:rsidRPr="00FE0641" w14:paraId="00627A71" w14:textId="77777777" w:rsidTr="001F66B4">
        <w:tc>
          <w:tcPr>
            <w:tcW w:w="0" w:type="auto"/>
            <w:hideMark/>
          </w:tcPr>
          <w:p w14:paraId="49914F3B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Adult Health Nursing</w:t>
            </w:r>
          </w:p>
        </w:tc>
        <w:tc>
          <w:tcPr>
            <w:tcW w:w="0" w:type="auto"/>
            <w:hideMark/>
          </w:tcPr>
          <w:p w14:paraId="6699744E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>41</w:t>
            </w:r>
          </w:p>
        </w:tc>
        <w:tc>
          <w:tcPr>
            <w:tcW w:w="0" w:type="auto"/>
            <w:hideMark/>
          </w:tcPr>
          <w:p w14:paraId="280FC76D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 xml:space="preserve">41% </w:t>
            </w:r>
          </w:p>
        </w:tc>
      </w:tr>
      <w:tr w:rsidR="00B34AF4" w:rsidRPr="00FE0641" w14:paraId="18253B4F" w14:textId="77777777" w:rsidTr="001F66B4">
        <w:tc>
          <w:tcPr>
            <w:tcW w:w="0" w:type="auto"/>
            <w:hideMark/>
          </w:tcPr>
          <w:p w14:paraId="5CFFEC5C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Child Health Nursing</w:t>
            </w:r>
          </w:p>
        </w:tc>
        <w:tc>
          <w:tcPr>
            <w:tcW w:w="0" w:type="auto"/>
            <w:hideMark/>
          </w:tcPr>
          <w:p w14:paraId="611B5ED0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hideMark/>
          </w:tcPr>
          <w:p w14:paraId="72112E2C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 xml:space="preserve">13% </w:t>
            </w:r>
          </w:p>
        </w:tc>
      </w:tr>
      <w:tr w:rsidR="00B34AF4" w:rsidRPr="00FE0641" w14:paraId="3436C31A" w14:textId="77777777" w:rsidTr="001F66B4">
        <w:tc>
          <w:tcPr>
            <w:tcW w:w="0" w:type="auto"/>
            <w:hideMark/>
          </w:tcPr>
          <w:p w14:paraId="6760F9C6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Maternal-Newborn Nursing</w:t>
            </w:r>
          </w:p>
        </w:tc>
        <w:tc>
          <w:tcPr>
            <w:tcW w:w="0" w:type="auto"/>
            <w:hideMark/>
          </w:tcPr>
          <w:p w14:paraId="0E5B03FD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hideMark/>
          </w:tcPr>
          <w:p w14:paraId="54B4B955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 xml:space="preserve">10% </w:t>
            </w:r>
          </w:p>
        </w:tc>
      </w:tr>
      <w:tr w:rsidR="00B34AF4" w:rsidRPr="00FE0641" w14:paraId="65C6E87B" w14:textId="77777777" w:rsidTr="001F66B4">
        <w:tc>
          <w:tcPr>
            <w:tcW w:w="0" w:type="auto"/>
            <w:hideMark/>
          </w:tcPr>
          <w:p w14:paraId="33E79264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Community Health Nursing</w:t>
            </w:r>
          </w:p>
        </w:tc>
        <w:tc>
          <w:tcPr>
            <w:tcW w:w="0" w:type="auto"/>
            <w:hideMark/>
          </w:tcPr>
          <w:p w14:paraId="55E7C6EA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hideMark/>
          </w:tcPr>
          <w:p w14:paraId="37C6EEE0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 xml:space="preserve">13% </w:t>
            </w:r>
          </w:p>
        </w:tc>
      </w:tr>
      <w:tr w:rsidR="00B34AF4" w:rsidRPr="00FE0641" w14:paraId="29A0E878" w14:textId="77777777" w:rsidTr="001F66B4">
        <w:tc>
          <w:tcPr>
            <w:tcW w:w="0" w:type="auto"/>
            <w:hideMark/>
          </w:tcPr>
          <w:p w14:paraId="1AD1A01C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Mental Health Nursing</w:t>
            </w:r>
          </w:p>
        </w:tc>
        <w:tc>
          <w:tcPr>
            <w:tcW w:w="0" w:type="auto"/>
            <w:hideMark/>
          </w:tcPr>
          <w:p w14:paraId="76F81B73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hideMark/>
          </w:tcPr>
          <w:p w14:paraId="2741FD58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 xml:space="preserve">13% </w:t>
            </w:r>
          </w:p>
        </w:tc>
      </w:tr>
      <w:tr w:rsidR="00B34AF4" w:rsidRPr="00FE0641" w14:paraId="7517B9C5" w14:textId="77777777" w:rsidTr="001F66B4">
        <w:tc>
          <w:tcPr>
            <w:tcW w:w="0" w:type="auto"/>
            <w:hideMark/>
          </w:tcPr>
          <w:p w14:paraId="1D0312B8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Leadership and Management in Nursing</w:t>
            </w:r>
          </w:p>
        </w:tc>
        <w:tc>
          <w:tcPr>
            <w:tcW w:w="0" w:type="auto"/>
            <w:hideMark/>
          </w:tcPr>
          <w:p w14:paraId="19F1EF7E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hideMark/>
          </w:tcPr>
          <w:p w14:paraId="717D75A9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 xml:space="preserve">10% </w:t>
            </w:r>
          </w:p>
        </w:tc>
      </w:tr>
      <w:tr w:rsidR="00B34AF4" w:rsidRPr="00FE0641" w14:paraId="3397FA9A" w14:textId="77777777" w:rsidTr="001F66B4">
        <w:tc>
          <w:tcPr>
            <w:tcW w:w="0" w:type="auto"/>
            <w:hideMark/>
          </w:tcPr>
          <w:p w14:paraId="2A3EB1A1" w14:textId="77777777" w:rsidR="00B34AF4" w:rsidRPr="00FE0641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FE0641">
              <w:rPr>
                <w:rFonts w:asciiTheme="majorBidi" w:hAnsiTheme="majorBidi" w:cstheme="majorBidi"/>
                <w:b/>
                <w:bCs/>
                <w:color w:val="1F1F1F"/>
                <w:sz w:val="22"/>
                <w:szCs w:val="22"/>
                <w:bdr w:val="none" w:sz="0" w:space="0" w:color="auto" w:frame="1"/>
              </w:rPr>
              <w:t>Total</w:t>
            </w:r>
          </w:p>
        </w:tc>
        <w:tc>
          <w:tcPr>
            <w:tcW w:w="0" w:type="auto"/>
            <w:hideMark/>
          </w:tcPr>
          <w:p w14:paraId="42313917" w14:textId="77777777" w:rsidR="00B34AF4" w:rsidRPr="00265FA9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265FA9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>100</w:t>
            </w:r>
          </w:p>
        </w:tc>
        <w:tc>
          <w:tcPr>
            <w:tcW w:w="0" w:type="auto"/>
            <w:hideMark/>
          </w:tcPr>
          <w:p w14:paraId="75680BC2" w14:textId="77777777" w:rsidR="00B34AF4" w:rsidRPr="00265FA9" w:rsidRDefault="00B34AF4" w:rsidP="001F66B4">
            <w:pPr>
              <w:rPr>
                <w:rFonts w:asciiTheme="majorBidi" w:hAnsiTheme="majorBidi" w:cstheme="majorBidi"/>
                <w:color w:val="1F1F1F"/>
                <w:sz w:val="22"/>
                <w:szCs w:val="22"/>
              </w:rPr>
            </w:pPr>
            <w:r w:rsidRPr="00265FA9">
              <w:rPr>
                <w:rFonts w:asciiTheme="majorBidi" w:hAnsiTheme="majorBidi" w:cstheme="majorBidi"/>
                <w:color w:val="1F1F1F"/>
                <w:sz w:val="22"/>
                <w:szCs w:val="22"/>
                <w:bdr w:val="none" w:sz="0" w:space="0" w:color="auto" w:frame="1"/>
              </w:rPr>
              <w:t xml:space="preserve">100% </w:t>
            </w:r>
          </w:p>
        </w:tc>
      </w:tr>
    </w:tbl>
    <w:p w14:paraId="54742988" w14:textId="77777777" w:rsidR="003D1925" w:rsidRDefault="003D1925"/>
    <w:p w14:paraId="66BE3518" w14:textId="77777777" w:rsidR="00B34AF4" w:rsidRPr="00FE0641" w:rsidRDefault="00B34AF4" w:rsidP="00B34AF4">
      <w:pPr>
        <w:spacing w:after="0" w:line="240" w:lineRule="auto"/>
        <w:outlineLvl w:val="2"/>
        <w:rPr>
          <w:rFonts w:asciiTheme="majorBidi" w:eastAsia="Times New Roman" w:hAnsiTheme="majorBidi" w:cstheme="majorBidi"/>
          <w:b/>
          <w:bCs/>
          <w:color w:val="1F1F1F"/>
        </w:rPr>
      </w:pPr>
      <w:r w:rsidRPr="00FE0641">
        <w:rPr>
          <w:rFonts w:asciiTheme="majorBidi" w:eastAsia="Times New Roman" w:hAnsiTheme="majorBidi" w:cstheme="majorBidi"/>
          <w:b/>
          <w:bCs/>
          <w:color w:val="1F1F1F"/>
          <w:bdr w:val="none" w:sz="0" w:space="0" w:color="auto" w:frame="1"/>
        </w:rPr>
        <w:t>II. Client Needs Framework</w:t>
      </w:r>
    </w:p>
    <w:p w14:paraId="2A07D3B4" w14:textId="77777777" w:rsidR="00B34AF4" w:rsidRPr="00FE0641" w:rsidRDefault="00B34AF4" w:rsidP="00B34AF4">
      <w:pPr>
        <w:spacing w:after="0" w:line="240" w:lineRule="auto"/>
        <w:rPr>
          <w:rFonts w:asciiTheme="majorBidi" w:eastAsia="Times New Roman" w:hAnsiTheme="majorBidi" w:cstheme="majorBidi"/>
          <w:color w:val="1F1F1F"/>
        </w:rPr>
      </w:pPr>
      <w:r w:rsidRPr="00FE0641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 xml:space="preserve">Questions are organized into four major </w:t>
      </w:r>
      <w:r w:rsidRPr="00FE0641">
        <w:rPr>
          <w:rFonts w:asciiTheme="majorBidi" w:eastAsia="Times New Roman" w:hAnsiTheme="majorBidi" w:cstheme="majorBidi"/>
          <w:b/>
          <w:bCs/>
          <w:color w:val="1F1F1F"/>
          <w:bdr w:val="none" w:sz="0" w:space="0" w:color="auto" w:frame="1"/>
        </w:rPr>
        <w:t>Client Needs</w:t>
      </w:r>
      <w:r w:rsidRPr="00FE0641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 xml:space="preserve"> categories, providing a universal structure for assessing nursing competencies.</w:t>
      </w:r>
    </w:p>
    <w:p w14:paraId="09516F25" w14:textId="77777777" w:rsidR="00B34AF4" w:rsidRPr="00FE0641" w:rsidRDefault="00B34AF4" w:rsidP="00B34AF4">
      <w:pPr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1F1F1F"/>
        </w:rPr>
      </w:pPr>
      <w:r w:rsidRPr="00FE0641">
        <w:rPr>
          <w:rFonts w:asciiTheme="majorBidi" w:eastAsia="Times New Roman" w:hAnsiTheme="majorBidi" w:cstheme="majorBidi"/>
          <w:b/>
          <w:bCs/>
          <w:color w:val="1F1F1F"/>
          <w:bdr w:val="none" w:sz="0" w:space="0" w:color="auto" w:frame="1"/>
        </w:rPr>
        <w:t>Physiological Integrity (48%)</w:t>
      </w:r>
      <w:r w:rsidRPr="00FE0641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>: Focuses on managing and providing care for clients with acute, chronic, or life-threatening physical health conditions.</w:t>
      </w:r>
    </w:p>
    <w:p w14:paraId="14218E40" w14:textId="77777777" w:rsidR="00B34AF4" w:rsidRPr="00FE0641" w:rsidRDefault="00B34AF4" w:rsidP="00B34AF4">
      <w:pPr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1F1F1F"/>
        </w:rPr>
      </w:pPr>
      <w:r w:rsidRPr="00FE0641">
        <w:rPr>
          <w:rFonts w:asciiTheme="majorBidi" w:eastAsia="Times New Roman" w:hAnsiTheme="majorBidi" w:cstheme="majorBidi"/>
          <w:b/>
          <w:bCs/>
          <w:color w:val="1F1F1F"/>
          <w:bdr w:val="none" w:sz="0" w:space="0" w:color="auto" w:frame="1"/>
        </w:rPr>
        <w:t>Safe and Effective Care Environment (29%)</w:t>
      </w:r>
      <w:r w:rsidRPr="00FE0641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>: Evaluates the provision of nursing care that enhances the delivery setting to protect clients and personnel.</w:t>
      </w:r>
    </w:p>
    <w:p w14:paraId="665ADC61" w14:textId="77777777" w:rsidR="00B34AF4" w:rsidRPr="00FE0641" w:rsidRDefault="00B34AF4" w:rsidP="00B34AF4">
      <w:pPr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1F1F1F"/>
        </w:rPr>
      </w:pPr>
      <w:r w:rsidRPr="00FE0641">
        <w:rPr>
          <w:rFonts w:asciiTheme="majorBidi" w:eastAsia="Times New Roman" w:hAnsiTheme="majorBidi" w:cstheme="majorBidi"/>
          <w:b/>
          <w:bCs/>
          <w:color w:val="1F1F1F"/>
          <w:bdr w:val="none" w:sz="0" w:space="0" w:color="auto" w:frame="1"/>
        </w:rPr>
        <w:t>Health Promotion and Maintenance (12%)</w:t>
      </w:r>
      <w:r w:rsidRPr="00FE0641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>: Incorporates knowledge of growth, development, and strategies to achieve optimal health.</w:t>
      </w:r>
    </w:p>
    <w:p w14:paraId="46C558BE" w14:textId="77777777" w:rsidR="00B34AF4" w:rsidRPr="00B34AF4" w:rsidRDefault="00B34AF4" w:rsidP="00B34AF4">
      <w:pPr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1F1F1F"/>
        </w:rPr>
      </w:pPr>
      <w:r w:rsidRPr="2E39259C">
        <w:rPr>
          <w:rFonts w:asciiTheme="majorBidi" w:eastAsia="Times New Roman" w:hAnsiTheme="majorBidi" w:cstheme="majorBidi"/>
          <w:b/>
          <w:bCs/>
          <w:color w:val="1F1F1F"/>
          <w:bdr w:val="none" w:sz="0" w:space="0" w:color="auto" w:frame="1"/>
        </w:rPr>
        <w:t>Psychosocial Integrity (11%)</w:t>
      </w:r>
      <w:r w:rsidRPr="2E39259C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>: Promotes and supports the emotional, mental, and social well-being of clients.</w:t>
      </w:r>
    </w:p>
    <w:p w14:paraId="1A6A9DD2" w14:textId="77777777" w:rsidR="00B34AF4" w:rsidRDefault="00B34AF4" w:rsidP="00B34AF4">
      <w:pPr>
        <w:spacing w:after="0" w:line="240" w:lineRule="auto"/>
        <w:rPr>
          <w:rFonts w:asciiTheme="majorBidi" w:eastAsia="Times New Roman" w:hAnsiTheme="majorBidi" w:cstheme="majorBidi"/>
          <w:color w:val="1F1F1F"/>
        </w:rPr>
      </w:pPr>
    </w:p>
    <w:p w14:paraId="20E82159" w14:textId="77777777" w:rsidR="00B34AF4" w:rsidRDefault="00B34AF4" w:rsidP="00B34AF4">
      <w:pPr>
        <w:spacing w:after="0" w:line="240" w:lineRule="auto"/>
        <w:rPr>
          <w:rFonts w:asciiTheme="majorBidi" w:eastAsia="Times New Roman" w:hAnsiTheme="majorBidi" w:cstheme="majorBidi"/>
          <w:color w:val="1F1F1F"/>
        </w:rPr>
      </w:pPr>
    </w:p>
    <w:p w14:paraId="2AFFB20C" w14:textId="77777777" w:rsidR="00B34AF4" w:rsidRDefault="00B34AF4" w:rsidP="00B34AF4">
      <w:pPr>
        <w:spacing w:after="0" w:line="240" w:lineRule="auto"/>
        <w:rPr>
          <w:rFonts w:asciiTheme="majorBidi" w:eastAsia="Times New Roman" w:hAnsiTheme="majorBidi" w:cstheme="majorBidi"/>
          <w:color w:val="1F1F1F"/>
        </w:rPr>
      </w:pPr>
    </w:p>
    <w:p w14:paraId="68D4FCDF" w14:textId="77777777" w:rsidR="00B34AF4" w:rsidRPr="00FE0641" w:rsidRDefault="00B34AF4" w:rsidP="00B34AF4">
      <w:pPr>
        <w:spacing w:after="0" w:line="240" w:lineRule="auto"/>
        <w:rPr>
          <w:rFonts w:asciiTheme="majorBidi" w:eastAsia="Times New Roman" w:hAnsiTheme="majorBidi" w:cstheme="majorBidi"/>
          <w:color w:val="1F1F1F"/>
        </w:rPr>
      </w:pPr>
    </w:p>
    <w:p w14:paraId="25DCBB73" w14:textId="77777777" w:rsidR="00B34AF4" w:rsidRPr="00B34AF4" w:rsidRDefault="00B34AF4" w:rsidP="00B34AF4">
      <w:pPr>
        <w:pStyle w:val="ListParagraph"/>
        <w:numPr>
          <w:ilvl w:val="0"/>
          <w:numId w:val="10"/>
        </w:numPr>
        <w:spacing w:after="0" w:line="240" w:lineRule="auto"/>
        <w:outlineLvl w:val="2"/>
        <w:rPr>
          <w:rFonts w:asciiTheme="majorBidi" w:eastAsia="Times New Roman" w:hAnsiTheme="majorBidi" w:cstheme="majorBidi"/>
          <w:b/>
          <w:bCs/>
          <w:color w:val="1F1F1F"/>
        </w:rPr>
      </w:pPr>
      <w:r w:rsidRPr="00B34AF4">
        <w:rPr>
          <w:rFonts w:asciiTheme="majorBidi" w:eastAsia="Times New Roman" w:hAnsiTheme="majorBidi" w:cstheme="majorBidi"/>
          <w:b/>
          <w:bCs/>
          <w:color w:val="1F1F1F"/>
          <w:bdr w:val="none" w:sz="0" w:space="0" w:color="auto" w:frame="1"/>
        </w:rPr>
        <w:t>III. Detailed Examination Topics</w:t>
      </w:r>
    </w:p>
    <w:p w14:paraId="200FFE53" w14:textId="77777777" w:rsidR="00B34AF4" w:rsidRPr="00B34AF4" w:rsidRDefault="00B34AF4" w:rsidP="00B34AF4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</w:pPr>
      <w:r w:rsidRPr="00B34AF4">
        <w:rPr>
          <w:rFonts w:asciiTheme="majorBidi" w:eastAsia="Times New Roman" w:hAnsiTheme="majorBidi" w:cstheme="majorBidi"/>
          <w:color w:val="1F1F1F"/>
          <w:bdr w:val="none" w:sz="0" w:space="0" w:color="auto" w:frame="1"/>
        </w:rPr>
        <w:t>The exam covers common (but not limited to) health problems and specialized nursing interventions as detailed in the JNCLEX-RN Blueprint.</w:t>
      </w:r>
    </w:p>
    <w:p w14:paraId="209C7DF0" w14:textId="77777777" w:rsidR="00B34AF4" w:rsidRPr="00B34AF4" w:rsidRDefault="00B34AF4" w:rsidP="00B34AF4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color w:val="1F1F1F"/>
        </w:rPr>
      </w:pPr>
    </w:p>
    <w:tbl>
      <w:tblPr>
        <w:tblStyle w:val="TableGridLight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703"/>
        <w:gridCol w:w="5815"/>
      </w:tblGrid>
      <w:tr w:rsidR="00B34AF4" w:rsidRPr="00121076" w14:paraId="1E1A8E1B" w14:textId="77777777" w:rsidTr="001F66B4">
        <w:tc>
          <w:tcPr>
            <w:tcW w:w="1338" w:type="dxa"/>
            <w:shd w:val="clear" w:color="auto" w:fill="F2F2F2" w:themeFill="background1" w:themeFillShade="F2"/>
            <w:hideMark/>
          </w:tcPr>
          <w:p w14:paraId="66E4023D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Nursing Domain</w:t>
            </w:r>
          </w:p>
        </w:tc>
        <w:tc>
          <w:tcPr>
            <w:tcW w:w="1707" w:type="dxa"/>
            <w:shd w:val="clear" w:color="auto" w:fill="F2F2F2" w:themeFill="background1" w:themeFillShade="F2"/>
            <w:hideMark/>
          </w:tcPr>
          <w:p w14:paraId="5436CFD3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Major Topics</w:t>
            </w:r>
          </w:p>
        </w:tc>
        <w:tc>
          <w:tcPr>
            <w:tcW w:w="5952" w:type="dxa"/>
            <w:shd w:val="clear" w:color="auto" w:fill="F2F2F2" w:themeFill="background1" w:themeFillShade="F2"/>
            <w:hideMark/>
          </w:tcPr>
          <w:p w14:paraId="55CFC08C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Detailed Topics</w:t>
            </w:r>
          </w:p>
        </w:tc>
      </w:tr>
      <w:tr w:rsidR="00B34AF4" w:rsidRPr="00121076" w14:paraId="5674913C" w14:textId="77777777" w:rsidTr="001F66B4">
        <w:tc>
          <w:tcPr>
            <w:tcW w:w="1338" w:type="dxa"/>
            <w:vMerge w:val="restart"/>
            <w:shd w:val="clear" w:color="auto" w:fill="F2F2F2" w:themeFill="background1" w:themeFillShade="F2"/>
            <w:hideMark/>
          </w:tcPr>
          <w:p w14:paraId="7BCA7414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Adult Health Nursing</w:t>
            </w:r>
            <w:r w:rsidRPr="00121076">
              <w:rPr>
                <w:rFonts w:asciiTheme="majorBidi" w:hAnsiTheme="majorBidi" w:cstheme="majorBidi"/>
                <w:lang w:bidi="ar-JO"/>
              </w:rPr>
              <w:t xml:space="preserve"> </w:t>
            </w:r>
          </w:p>
        </w:tc>
        <w:tc>
          <w:tcPr>
            <w:tcW w:w="1707" w:type="dxa"/>
            <w:hideMark/>
          </w:tcPr>
          <w:p w14:paraId="20D40E0A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Cardiovascular </w:t>
            </w:r>
          </w:p>
        </w:tc>
        <w:tc>
          <w:tcPr>
            <w:tcW w:w="5952" w:type="dxa"/>
            <w:hideMark/>
          </w:tcPr>
          <w:p w14:paraId="022B6955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Coronary Artery Disease, Pericarditis, Heart failure, Shock, Atherosclerosis, Embolism and Thrombosis, Hypertension.</w:t>
            </w:r>
          </w:p>
        </w:tc>
      </w:tr>
      <w:tr w:rsidR="00B34AF4" w:rsidRPr="00121076" w14:paraId="505C9221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50F47CD8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4E665757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Respiratory </w:t>
            </w:r>
          </w:p>
        </w:tc>
        <w:tc>
          <w:tcPr>
            <w:tcW w:w="5952" w:type="dxa"/>
            <w:hideMark/>
          </w:tcPr>
          <w:p w14:paraId="47317B86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Asthma, Chronic Obstructive Pulmonary Disease, Pneumonia, Respiratory failure, Pulmonary Embolism.</w:t>
            </w:r>
          </w:p>
        </w:tc>
      </w:tr>
      <w:tr w:rsidR="00B34AF4" w:rsidRPr="00121076" w14:paraId="7AF18B30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0A5EDCA6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74438BEA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Gastrointestinal &amp; Metabolic </w:t>
            </w:r>
          </w:p>
        </w:tc>
        <w:tc>
          <w:tcPr>
            <w:tcW w:w="5952" w:type="dxa"/>
            <w:hideMark/>
          </w:tcPr>
          <w:p w14:paraId="5E5B9860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Parenteral nutrition, GERD, Gastritis, Peptic ulcer disease, Constipation, Diarrhea, Irritable Bowel Syndrome, Inflammatory Bowel Disease, Intestinal obstruction, Hepatitis, Hepatic failure/Cirrhosis, Cholecystitis, Cholelithiasis, Pancreatitis.</w:t>
            </w:r>
          </w:p>
        </w:tc>
      </w:tr>
      <w:tr w:rsidR="00B34AF4" w:rsidRPr="00121076" w14:paraId="60D36F95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1F75BB5B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02A162E9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Endocrine </w:t>
            </w:r>
          </w:p>
        </w:tc>
        <w:tc>
          <w:tcPr>
            <w:tcW w:w="5952" w:type="dxa"/>
            <w:hideMark/>
          </w:tcPr>
          <w:p w14:paraId="045C37C0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Diabetes Mellitus, Diabetic Ketoacidosis, Pituitary, Thyroid, Parathyroid, and Adrenal disorders.</w:t>
            </w:r>
          </w:p>
        </w:tc>
      </w:tr>
      <w:tr w:rsidR="00B34AF4" w:rsidRPr="00121076" w14:paraId="34C59BB0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2A6C85C1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2054177B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Musculoskeletal </w:t>
            </w:r>
          </w:p>
        </w:tc>
        <w:tc>
          <w:tcPr>
            <w:tcW w:w="5952" w:type="dxa"/>
            <w:hideMark/>
          </w:tcPr>
          <w:p w14:paraId="55157F68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Trauma, Fractures.</w:t>
            </w:r>
          </w:p>
        </w:tc>
      </w:tr>
      <w:tr w:rsidR="00B34AF4" w:rsidRPr="00121076" w14:paraId="6104C727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1BF27FCA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411D1B7C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Neurologic </w:t>
            </w:r>
          </w:p>
        </w:tc>
        <w:tc>
          <w:tcPr>
            <w:tcW w:w="5952" w:type="dxa"/>
            <w:hideMark/>
          </w:tcPr>
          <w:p w14:paraId="14B4393E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Increased Intracranial pressure, Seizures, Headache, Stroke, Head and Spinal cord injuries, Multiple Sclerosis, Meningitis.</w:t>
            </w:r>
          </w:p>
        </w:tc>
      </w:tr>
      <w:tr w:rsidR="00B34AF4" w:rsidRPr="00121076" w14:paraId="1031BFF6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0F5915E3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67A95C76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Kidney &amp; Urinary </w:t>
            </w:r>
          </w:p>
        </w:tc>
        <w:tc>
          <w:tcPr>
            <w:tcW w:w="5952" w:type="dxa"/>
            <w:hideMark/>
          </w:tcPr>
          <w:p w14:paraId="674D0124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Acute and Chronic Renal failure, Urinary Tract Infection, Renal stones.</w:t>
            </w:r>
          </w:p>
        </w:tc>
      </w:tr>
      <w:tr w:rsidR="00B34AF4" w:rsidRPr="00121076" w14:paraId="3DA4CF0A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5F9DF9D6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4A866CCB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Hematologic </w:t>
            </w:r>
          </w:p>
        </w:tc>
        <w:tc>
          <w:tcPr>
            <w:tcW w:w="5952" w:type="dxa"/>
            <w:hideMark/>
          </w:tcPr>
          <w:p w14:paraId="220890B9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Anemia, clotting and bleeding disorders, Anticoagulation therapy, Leukemia, Lymphoma.</w:t>
            </w:r>
          </w:p>
        </w:tc>
      </w:tr>
      <w:tr w:rsidR="00B34AF4" w:rsidRPr="00121076" w14:paraId="69109FB6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76A7978F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166E3C7E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Immunologic </w:t>
            </w:r>
          </w:p>
        </w:tc>
        <w:tc>
          <w:tcPr>
            <w:tcW w:w="5952" w:type="dxa"/>
            <w:hideMark/>
          </w:tcPr>
          <w:p w14:paraId="1E1364D9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HIV infection, Allergic disorders, Rheumatic disorders.</w:t>
            </w:r>
          </w:p>
        </w:tc>
      </w:tr>
      <w:tr w:rsidR="00B34AF4" w:rsidRPr="00121076" w14:paraId="5D6488C3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3DCC02E0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56972B95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Oncology &amp; Palliative </w:t>
            </w:r>
          </w:p>
        </w:tc>
        <w:tc>
          <w:tcPr>
            <w:tcW w:w="5952" w:type="dxa"/>
            <w:hideMark/>
          </w:tcPr>
          <w:p w14:paraId="006FD5AA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Basic chemotherapy and Pain Management.</w:t>
            </w:r>
          </w:p>
        </w:tc>
      </w:tr>
      <w:tr w:rsidR="00B34AF4" w:rsidRPr="00121076" w14:paraId="5E6150E3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74DF8EE8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3F7A5F6E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Integumentary </w:t>
            </w:r>
          </w:p>
        </w:tc>
        <w:tc>
          <w:tcPr>
            <w:tcW w:w="5952" w:type="dxa"/>
            <w:hideMark/>
          </w:tcPr>
          <w:p w14:paraId="54ABD042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Burns.</w:t>
            </w:r>
          </w:p>
        </w:tc>
      </w:tr>
      <w:tr w:rsidR="00B34AF4" w:rsidRPr="00121076" w14:paraId="1E766B75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5668F74B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13E3E87E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Nursing Foundations </w:t>
            </w:r>
          </w:p>
        </w:tc>
        <w:tc>
          <w:tcPr>
            <w:tcW w:w="5952" w:type="dxa"/>
            <w:hideMark/>
          </w:tcPr>
          <w:p w14:paraId="295AE0FF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Fluids, electrolytes, Acid and base balance.</w:t>
            </w:r>
          </w:p>
        </w:tc>
      </w:tr>
      <w:tr w:rsidR="00B34AF4" w:rsidRPr="00121076" w14:paraId="266EDA94" w14:textId="77777777" w:rsidTr="001F66B4">
        <w:tc>
          <w:tcPr>
            <w:tcW w:w="1338" w:type="dxa"/>
            <w:vMerge w:val="restart"/>
            <w:shd w:val="clear" w:color="auto" w:fill="F2F2F2" w:themeFill="background1" w:themeFillShade="F2"/>
            <w:hideMark/>
          </w:tcPr>
          <w:p w14:paraId="400532A8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Child Health Nursing</w:t>
            </w:r>
            <w:r w:rsidRPr="00121076">
              <w:rPr>
                <w:rFonts w:asciiTheme="majorBidi" w:hAnsiTheme="majorBidi" w:cstheme="majorBidi"/>
                <w:lang w:bidi="ar-JO"/>
              </w:rPr>
              <w:t xml:space="preserve"> </w:t>
            </w:r>
          </w:p>
        </w:tc>
        <w:tc>
          <w:tcPr>
            <w:tcW w:w="1707" w:type="dxa"/>
            <w:hideMark/>
          </w:tcPr>
          <w:p w14:paraId="227537FE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Growth &amp; Development </w:t>
            </w:r>
          </w:p>
        </w:tc>
        <w:tc>
          <w:tcPr>
            <w:tcW w:w="5952" w:type="dxa"/>
            <w:hideMark/>
          </w:tcPr>
          <w:p w14:paraId="05F1C067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Physiological changes (Infants); Social development (Toddlers); Safety, Nutrition, and Sleep (Preschoolers, School-age, Adolescents).</w:t>
            </w:r>
          </w:p>
        </w:tc>
      </w:tr>
      <w:tr w:rsidR="00B34AF4" w:rsidRPr="00121076" w14:paraId="05884CB3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05C42B39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51BAD9CF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Respiratory </w:t>
            </w:r>
          </w:p>
        </w:tc>
        <w:tc>
          <w:tcPr>
            <w:tcW w:w="5952" w:type="dxa"/>
            <w:hideMark/>
          </w:tcPr>
          <w:p w14:paraId="0842CB92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Nursing management for: Asthma, Croup, Pneumonia, Cystic fibrosis, Otitis media.</w:t>
            </w:r>
          </w:p>
        </w:tc>
      </w:tr>
      <w:tr w:rsidR="00B34AF4" w:rsidRPr="00121076" w14:paraId="358E0AE3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58F32C64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03FAEF78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Cardiovascular</w:t>
            </w:r>
          </w:p>
        </w:tc>
        <w:tc>
          <w:tcPr>
            <w:tcW w:w="5952" w:type="dxa"/>
            <w:hideMark/>
          </w:tcPr>
          <w:p w14:paraId="4CC17ABA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Rheumatic fever, Heart failure; Pre/post-op care for: ASD, VSD, Tetralogy of Fallot, Patent Ductus Arteriosus.</w:t>
            </w:r>
          </w:p>
        </w:tc>
      </w:tr>
      <w:tr w:rsidR="00B34AF4" w:rsidRPr="00121076" w14:paraId="4B1CFAD6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25446DB9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4D322215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Hematology </w:t>
            </w:r>
          </w:p>
        </w:tc>
        <w:tc>
          <w:tcPr>
            <w:tcW w:w="5952" w:type="dxa"/>
            <w:hideMark/>
          </w:tcPr>
          <w:p w14:paraId="17524B3C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Hemophilia, Thalassemia, Sickle cell anemia, Iron deficiency anemia.</w:t>
            </w:r>
          </w:p>
        </w:tc>
      </w:tr>
      <w:tr w:rsidR="00B34AF4" w:rsidRPr="00121076" w14:paraId="79F740DF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31CFCCDE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0BF3346C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Gastrointestinal </w:t>
            </w:r>
          </w:p>
        </w:tc>
        <w:tc>
          <w:tcPr>
            <w:tcW w:w="5952" w:type="dxa"/>
            <w:hideMark/>
          </w:tcPr>
          <w:p w14:paraId="0C2EC990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Celiac disease, Cleft lip &amp; palate, Diarrhea.</w:t>
            </w:r>
          </w:p>
        </w:tc>
      </w:tr>
      <w:tr w:rsidR="00B34AF4" w:rsidRPr="00121076" w14:paraId="71BFEBFB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1D80A79F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6BAB34EF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Endocrine </w:t>
            </w:r>
          </w:p>
        </w:tc>
        <w:tc>
          <w:tcPr>
            <w:tcW w:w="5952" w:type="dxa"/>
            <w:hideMark/>
          </w:tcPr>
          <w:p w14:paraId="221A9B2E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Type I Diabetes Mellitus, Congenital hypothyroidism.</w:t>
            </w:r>
          </w:p>
        </w:tc>
      </w:tr>
      <w:tr w:rsidR="00B34AF4" w:rsidRPr="00121076" w14:paraId="36C9E827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6ACCE5D5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5199FAB6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Renal </w:t>
            </w:r>
          </w:p>
        </w:tc>
        <w:tc>
          <w:tcPr>
            <w:tcW w:w="5952" w:type="dxa"/>
            <w:hideMark/>
          </w:tcPr>
          <w:p w14:paraId="1B340C55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Urinary Tract Infection, Nephrotic syndrome.</w:t>
            </w:r>
          </w:p>
        </w:tc>
      </w:tr>
      <w:tr w:rsidR="00B34AF4" w:rsidRPr="00121076" w14:paraId="6844DFE3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7ADC00BF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6515A4C2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Other Topics </w:t>
            </w:r>
          </w:p>
        </w:tc>
        <w:tc>
          <w:tcPr>
            <w:tcW w:w="5952" w:type="dxa"/>
            <w:hideMark/>
          </w:tcPr>
          <w:p w14:paraId="0A5E8C9C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Dehydration, Pre/post-op care, Medication calculation and administration.</w:t>
            </w:r>
          </w:p>
        </w:tc>
      </w:tr>
      <w:tr w:rsidR="00B34AF4" w:rsidRPr="00121076" w14:paraId="06A518A7" w14:textId="77777777" w:rsidTr="001F66B4">
        <w:tc>
          <w:tcPr>
            <w:tcW w:w="1338" w:type="dxa"/>
            <w:shd w:val="clear" w:color="auto" w:fill="F2F2F2" w:themeFill="background1" w:themeFillShade="F2"/>
            <w:hideMark/>
          </w:tcPr>
          <w:p w14:paraId="354DEF8B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Maternal-Newborn Nursing</w:t>
            </w:r>
            <w:r w:rsidRPr="00121076">
              <w:rPr>
                <w:rFonts w:asciiTheme="majorBidi" w:hAnsiTheme="majorBidi" w:cstheme="majorBidi"/>
                <w:lang w:bidi="ar-JO"/>
              </w:rPr>
              <w:t xml:space="preserve"> </w:t>
            </w:r>
          </w:p>
        </w:tc>
        <w:tc>
          <w:tcPr>
            <w:tcW w:w="1707" w:type="dxa"/>
            <w:hideMark/>
          </w:tcPr>
          <w:p w14:paraId="09EB6671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Lifespan Care </w:t>
            </w:r>
          </w:p>
        </w:tc>
        <w:tc>
          <w:tcPr>
            <w:tcW w:w="5952" w:type="dxa"/>
            <w:hideMark/>
          </w:tcPr>
          <w:p w14:paraId="26C5A058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Antenatal care, Childbirth care, Postpartum care, Newborn care.</w:t>
            </w:r>
          </w:p>
        </w:tc>
      </w:tr>
      <w:tr w:rsidR="00B34AF4" w:rsidRPr="00121076" w14:paraId="1C7D1232" w14:textId="77777777" w:rsidTr="001F66B4">
        <w:tc>
          <w:tcPr>
            <w:tcW w:w="1338" w:type="dxa"/>
            <w:shd w:val="clear" w:color="auto" w:fill="F2F2F2" w:themeFill="background1" w:themeFillShade="F2"/>
            <w:hideMark/>
          </w:tcPr>
          <w:p w14:paraId="06AF797E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Community Health Nursing</w:t>
            </w:r>
            <w:r w:rsidRPr="00121076">
              <w:rPr>
                <w:rFonts w:asciiTheme="majorBidi" w:hAnsiTheme="majorBidi" w:cstheme="majorBidi"/>
                <w:lang w:bidi="ar-JO"/>
              </w:rPr>
              <w:t xml:space="preserve"> </w:t>
            </w:r>
          </w:p>
        </w:tc>
        <w:tc>
          <w:tcPr>
            <w:tcW w:w="1707" w:type="dxa"/>
            <w:hideMark/>
          </w:tcPr>
          <w:p w14:paraId="14D47A71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Population Health </w:t>
            </w:r>
          </w:p>
        </w:tc>
        <w:tc>
          <w:tcPr>
            <w:tcW w:w="5952" w:type="dxa"/>
            <w:hideMark/>
          </w:tcPr>
          <w:p w14:paraId="366A0636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 xml:space="preserve">Roles/settings for CHN; Community as </w:t>
            </w:r>
            <w:proofErr w:type="gramStart"/>
            <w:r w:rsidRPr="00121076">
              <w:rPr>
                <w:rFonts w:asciiTheme="majorBidi" w:hAnsiTheme="majorBidi" w:cstheme="majorBidi"/>
                <w:lang w:bidi="ar-JO"/>
              </w:rPr>
              <w:t>client</w:t>
            </w:r>
            <w:proofErr w:type="gramEnd"/>
            <w:r w:rsidRPr="00121076">
              <w:rPr>
                <w:rFonts w:asciiTheme="majorBidi" w:hAnsiTheme="majorBidi" w:cstheme="majorBidi"/>
                <w:lang w:bidi="ar-JO"/>
              </w:rPr>
              <w:t>; Older adults; Chronic diseases &amp; special needs; School health; Home visiting; Communicable disease control.</w:t>
            </w:r>
          </w:p>
        </w:tc>
      </w:tr>
      <w:tr w:rsidR="00B34AF4" w:rsidRPr="00121076" w14:paraId="460E27E8" w14:textId="77777777" w:rsidTr="001F66B4">
        <w:tc>
          <w:tcPr>
            <w:tcW w:w="1338" w:type="dxa"/>
            <w:vMerge w:val="restart"/>
            <w:shd w:val="clear" w:color="auto" w:fill="F2F2F2" w:themeFill="background1" w:themeFillShade="F2"/>
            <w:hideMark/>
          </w:tcPr>
          <w:p w14:paraId="052FD412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Mental Health Nursing</w:t>
            </w:r>
            <w:r w:rsidRPr="00121076">
              <w:rPr>
                <w:rFonts w:asciiTheme="majorBidi" w:hAnsiTheme="majorBidi" w:cstheme="majorBidi"/>
                <w:lang w:bidi="ar-JO"/>
              </w:rPr>
              <w:t xml:space="preserve"> </w:t>
            </w:r>
          </w:p>
        </w:tc>
        <w:tc>
          <w:tcPr>
            <w:tcW w:w="1707" w:type="dxa"/>
            <w:hideMark/>
          </w:tcPr>
          <w:p w14:paraId="16E76A18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Psychiatric Principles </w:t>
            </w:r>
          </w:p>
        </w:tc>
        <w:tc>
          <w:tcPr>
            <w:tcW w:w="5952" w:type="dxa"/>
            <w:hideMark/>
          </w:tcPr>
          <w:p w14:paraId="46DDCCFF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Roles, ethics, therapeutic relationships, psychosocial assessment, communication skills.</w:t>
            </w:r>
          </w:p>
        </w:tc>
      </w:tr>
      <w:tr w:rsidR="00B34AF4" w:rsidRPr="00121076" w14:paraId="2DB862CB" w14:textId="77777777" w:rsidTr="001F66B4">
        <w:tc>
          <w:tcPr>
            <w:tcW w:w="1338" w:type="dxa"/>
            <w:vMerge/>
            <w:shd w:val="clear" w:color="auto" w:fill="F2F2F2" w:themeFill="background1" w:themeFillShade="F2"/>
            <w:hideMark/>
          </w:tcPr>
          <w:p w14:paraId="281DBDE2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180A4F56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Clinical Disorders </w:t>
            </w:r>
          </w:p>
        </w:tc>
        <w:tc>
          <w:tcPr>
            <w:tcW w:w="5952" w:type="dxa"/>
            <w:hideMark/>
          </w:tcPr>
          <w:p w14:paraId="5E924D9D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Nursing care for: Schizophrenia, Depressive disorders, Personality disorders, Substance-related/addictive disorders, Anxiety, OCD, Bipolar, Trauma/stress-related.</w:t>
            </w:r>
          </w:p>
        </w:tc>
      </w:tr>
      <w:tr w:rsidR="00B34AF4" w:rsidRPr="00121076" w14:paraId="53DF2180" w14:textId="77777777" w:rsidTr="001F66B4">
        <w:tc>
          <w:tcPr>
            <w:tcW w:w="1338" w:type="dxa"/>
            <w:shd w:val="clear" w:color="auto" w:fill="F2F2F2" w:themeFill="background1" w:themeFillShade="F2"/>
            <w:hideMark/>
          </w:tcPr>
          <w:p w14:paraId="15B2C8A9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>Leadership &amp; Management</w:t>
            </w:r>
            <w:r w:rsidRPr="00121076">
              <w:rPr>
                <w:rFonts w:asciiTheme="majorBidi" w:hAnsiTheme="majorBidi" w:cstheme="majorBidi"/>
                <w:lang w:bidi="ar-JO"/>
              </w:rPr>
              <w:t xml:space="preserve"> </w:t>
            </w:r>
          </w:p>
          <w:p w14:paraId="06C8B6BE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707" w:type="dxa"/>
            <w:hideMark/>
          </w:tcPr>
          <w:p w14:paraId="5D17451A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121076">
              <w:rPr>
                <w:rFonts w:asciiTheme="majorBidi" w:hAnsiTheme="majorBidi" w:cstheme="majorBidi"/>
                <w:b/>
                <w:bCs/>
                <w:lang w:bidi="ar-JO"/>
              </w:rPr>
              <w:t xml:space="preserve">Healthcare Systems </w:t>
            </w:r>
          </w:p>
          <w:p w14:paraId="60C2EB7B" w14:textId="77777777" w:rsidR="00B34AF4" w:rsidRPr="00121076" w:rsidRDefault="00B34AF4" w:rsidP="001F66B4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5952" w:type="dxa"/>
            <w:hideMark/>
          </w:tcPr>
          <w:p w14:paraId="30D0C33F" w14:textId="77777777" w:rsidR="00B34AF4" w:rsidRPr="00121076" w:rsidRDefault="00B34AF4" w:rsidP="001F66B4">
            <w:pPr>
              <w:rPr>
                <w:rFonts w:asciiTheme="majorBidi" w:hAnsiTheme="majorBidi" w:cstheme="majorBidi"/>
                <w:lang w:bidi="ar-JO"/>
              </w:rPr>
            </w:pPr>
            <w:r w:rsidRPr="00121076">
              <w:rPr>
                <w:rFonts w:asciiTheme="majorBidi" w:hAnsiTheme="majorBidi" w:cstheme="majorBidi"/>
                <w:lang w:bidi="ar-JO"/>
              </w:rPr>
              <w:t>Leadership styles, Conflict management, Teamwork/collaboration, Decision making, Informatics, EBP, Staffing/scheduling, Delivery models, Ethics, Change, Delegation, Quality.</w:t>
            </w:r>
          </w:p>
        </w:tc>
      </w:tr>
    </w:tbl>
    <w:p w14:paraId="2F0D74CE" w14:textId="77777777" w:rsidR="003D1925" w:rsidRDefault="003D1925"/>
    <w:sectPr w:rsidR="003D1925" w:rsidSect="00B34AF4">
      <w:pgSz w:w="12240" w:h="15840"/>
      <w:pgMar w:top="1440" w:right="1800" w:bottom="1440" w:left="1800" w:header="720" w:footer="720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B6795F"/>
    <w:multiLevelType w:val="multilevel"/>
    <w:tmpl w:val="1C1A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107900">
    <w:abstractNumId w:val="8"/>
  </w:num>
  <w:num w:numId="2" w16cid:durableId="1973749859">
    <w:abstractNumId w:val="6"/>
  </w:num>
  <w:num w:numId="3" w16cid:durableId="455952042">
    <w:abstractNumId w:val="5"/>
  </w:num>
  <w:num w:numId="4" w16cid:durableId="879518020">
    <w:abstractNumId w:val="4"/>
  </w:num>
  <w:num w:numId="5" w16cid:durableId="1861040493">
    <w:abstractNumId w:val="7"/>
  </w:num>
  <w:num w:numId="6" w16cid:durableId="2013874927">
    <w:abstractNumId w:val="3"/>
  </w:num>
  <w:num w:numId="7" w16cid:durableId="1200974631">
    <w:abstractNumId w:val="2"/>
  </w:num>
  <w:num w:numId="8" w16cid:durableId="309868220">
    <w:abstractNumId w:val="1"/>
  </w:num>
  <w:num w:numId="9" w16cid:durableId="1668166050">
    <w:abstractNumId w:val="0"/>
  </w:num>
  <w:num w:numId="10" w16cid:durableId="3970223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1925"/>
    <w:rsid w:val="00AA1D8D"/>
    <w:rsid w:val="00B34AF4"/>
    <w:rsid w:val="00B47730"/>
    <w:rsid w:val="00CB0664"/>
    <w:rsid w:val="00D471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AFC4C9"/>
  <w14:defaultImageDpi w14:val="300"/>
  <w15:docId w15:val="{01E4888F-29CC-4400-95BF-1741593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Light1">
    <w:name w:val="Table Grid Light1"/>
    <w:basedOn w:val="TableNormal"/>
    <w:next w:val="TableGridLight"/>
    <w:uiPriority w:val="40"/>
    <w:rsid w:val="00B34AF4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99"/>
    <w:rsid w:val="00B34A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Ahmad A. Heasat</cp:lastModifiedBy>
  <cp:revision>2</cp:revision>
  <dcterms:created xsi:type="dcterms:W3CDTF">2013-12-23T23:15:00Z</dcterms:created>
  <dcterms:modified xsi:type="dcterms:W3CDTF">2026-07-16T20:35:00Z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8e17a-07ee-47e8-9883-c711994ec208_Enabled">
    <vt:lpwstr>true</vt:lpwstr>
  </property>
  <property fmtid="{D5CDD505-2E9C-101B-9397-08002B2CF9AE}" pid="3" name="MSIP_Label_ec08e17a-07ee-47e8-9883-c711994ec208_SetDate">
    <vt:lpwstr>2026-07-16T20:35:26Z</vt:lpwstr>
  </property>
  <property fmtid="{D5CDD505-2E9C-101B-9397-08002B2CF9AE}" pid="4" name="MSIP_Label_ec08e17a-07ee-47e8-9883-c711994ec208_Method">
    <vt:lpwstr>Standard</vt:lpwstr>
  </property>
  <property fmtid="{D5CDD505-2E9C-101B-9397-08002B2CF9AE}" pid="5" name="MSIP_Label_ec08e17a-07ee-47e8-9883-c711994ec208_Name">
    <vt:lpwstr>defa4170-0d19-0005-0003-bc88714345d2</vt:lpwstr>
  </property>
  <property fmtid="{D5CDD505-2E9C-101B-9397-08002B2CF9AE}" pid="6" name="MSIP_Label_ec08e17a-07ee-47e8-9883-c711994ec208_SiteId">
    <vt:lpwstr>fbc0f940-b676-4d68-81f0-4ab427e1210f</vt:lpwstr>
  </property>
  <property fmtid="{D5CDD505-2E9C-101B-9397-08002B2CF9AE}" pid="7" name="MSIP_Label_ec08e17a-07ee-47e8-9883-c711994ec208_ActionId">
    <vt:lpwstr>6ec93174-68ec-48c5-be71-b34c9ed672b4</vt:lpwstr>
  </property>
  <property fmtid="{D5CDD505-2E9C-101B-9397-08002B2CF9AE}" pid="8" name="MSIP_Label_ec08e17a-07ee-47e8-9883-c711994ec208_ContentBits">
    <vt:lpwstr>0</vt:lpwstr>
  </property>
  <property fmtid="{D5CDD505-2E9C-101B-9397-08002B2CF9AE}" pid="9" name="MSIP_Label_ec08e17a-07ee-47e8-9883-c711994ec208_Tag">
    <vt:lpwstr>10, 3, 0, 1</vt:lpwstr>
  </property>
</Properties>
</file>