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Clinical Reasoning &amp; Diagnostics</w:t>
      </w:r>
    </w:p>
    <w:p>
      <w:pPr>
        <w:pStyle w:val="ListBullet"/>
      </w:pPr>
      <w:r>
        <w:t>Lab interpretation</w:t>
      </w:r>
    </w:p>
    <w:p>
      <w:pPr>
        <w:pStyle w:val="ListBullet"/>
      </w:pPr>
      <w:r>
        <w:t>Diagnostics and pathophysiology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