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Leadership I</w:t>
      </w:r>
    </w:p>
    <w:p>
      <w:pPr>
        <w:pStyle w:val="ListBullet"/>
      </w:pPr>
      <w:r>
        <w:t>SBAR</w:t>
      </w:r>
    </w:p>
    <w:p>
      <w:pPr>
        <w:pStyle w:val="ListBullet"/>
      </w:pPr>
      <w:r>
        <w:t>Handoff</w:t>
      </w:r>
    </w:p>
    <w:p>
      <w:pPr>
        <w:pStyle w:val="ListBullet"/>
      </w:pPr>
      <w:r>
        <w:t>Conflict resolution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