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Total Patient Care Experience</w:t>
      </w:r>
    </w:p>
    <w:p>
      <w:pPr>
        <w:pStyle w:val="ListBullet"/>
      </w:pPr>
      <w:r>
        <w:t>Full caseload</w:t>
      </w:r>
    </w:p>
    <w:p>
      <w:pPr>
        <w:pStyle w:val="ListBullet"/>
      </w:pPr>
      <w:r>
        <w:t>Discharge planning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