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BF41" w14:textId="2D034B52" w:rsidR="00282D34" w:rsidRPr="008A16BC" w:rsidRDefault="00000000">
      <w:pPr>
        <w:pStyle w:val="Title"/>
        <w:jc w:val="center"/>
        <w:rPr>
          <w:rFonts w:asciiTheme="majorBidi" w:hAnsiTheme="majorBidi"/>
        </w:rPr>
      </w:pPr>
      <w:r w:rsidRPr="008A16BC">
        <w:rPr>
          <w:rFonts w:asciiTheme="majorBidi" w:hAnsiTheme="majorBidi"/>
          <w:b/>
          <w:color w:val="2D3E50"/>
        </w:rPr>
        <w:t xml:space="preserve">Pediatric Health Nursing (Clinical) </w:t>
      </w:r>
    </w:p>
    <w:p w14:paraId="3D0C16A0" w14:textId="77777777" w:rsidR="00282D34" w:rsidRPr="008A16BC" w:rsidRDefault="00282D34">
      <w:pPr>
        <w:rPr>
          <w:rFonts w:asciiTheme="majorBidi" w:hAnsiTheme="majorBidi" w:cstheme="majorBidi"/>
        </w:rPr>
      </w:pPr>
    </w:p>
    <w:p w14:paraId="13CCD530" w14:textId="77777777" w:rsidR="00282D34" w:rsidRPr="008A16BC" w:rsidRDefault="00000000">
      <w:pPr>
        <w:pStyle w:val="Heading1"/>
        <w:rPr>
          <w:rFonts w:asciiTheme="majorBidi" w:hAnsiTheme="majorBidi"/>
        </w:rPr>
      </w:pPr>
      <w:r w:rsidRPr="008A16BC">
        <w:rPr>
          <w:rFonts w:asciiTheme="majorBidi" w:hAnsiTheme="majorBidi"/>
          <w:color w:val="2D3E50"/>
        </w:rPr>
        <w:t>1. Pediatrics Ward (Hospital Floor)</w:t>
      </w:r>
    </w:p>
    <w:p w14:paraId="341B5CD8" w14:textId="77777777" w:rsidR="00282D34" w:rsidRPr="008A16BC" w:rsidRDefault="00000000">
      <w:pPr>
        <w:rPr>
          <w:rFonts w:asciiTheme="majorBidi" w:hAnsiTheme="majorBidi" w:cstheme="majorBidi"/>
        </w:rPr>
      </w:pPr>
      <w:r w:rsidRPr="008A16BC">
        <w:rPr>
          <w:rFonts w:asciiTheme="majorBidi" w:hAnsiTheme="majorBidi" w:cstheme="majorBidi"/>
        </w:rPr>
        <w:t>This section covers inpatient pediatric care, focusing on general physical assessment, common clinical interventions, and the integration of family-centered care.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847"/>
        <w:gridCol w:w="2664"/>
        <w:gridCol w:w="2875"/>
      </w:tblGrid>
      <w:tr w:rsidR="00282D34" w:rsidRPr="008A16BC" w14:paraId="1B413FC1" w14:textId="77777777">
        <w:tc>
          <w:tcPr>
            <w:tcW w:w="576" w:type="dxa"/>
            <w:shd w:val="clear" w:color="auto" w:fill="2D3E50"/>
            <w:vAlign w:val="center"/>
          </w:tcPr>
          <w:p w14:paraId="18C58C1C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#</w:t>
            </w:r>
          </w:p>
        </w:tc>
        <w:tc>
          <w:tcPr>
            <w:tcW w:w="1872" w:type="dxa"/>
            <w:shd w:val="clear" w:color="auto" w:fill="2D3E50"/>
            <w:vAlign w:val="center"/>
          </w:tcPr>
          <w:p w14:paraId="6D9CC624" w14:textId="24DF951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 xml:space="preserve">Topic </w:t>
            </w:r>
          </w:p>
        </w:tc>
        <w:tc>
          <w:tcPr>
            <w:tcW w:w="3312" w:type="dxa"/>
            <w:shd w:val="clear" w:color="auto" w:fill="2D3E50"/>
            <w:vAlign w:val="center"/>
          </w:tcPr>
          <w:p w14:paraId="326A4738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Knowledge Needed</w:t>
            </w:r>
          </w:p>
        </w:tc>
        <w:tc>
          <w:tcPr>
            <w:tcW w:w="3600" w:type="dxa"/>
            <w:shd w:val="clear" w:color="auto" w:fill="2D3E50"/>
            <w:vAlign w:val="center"/>
          </w:tcPr>
          <w:p w14:paraId="323AF7CD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Skills to Demonstrate</w:t>
            </w:r>
          </w:p>
        </w:tc>
      </w:tr>
      <w:tr w:rsidR="00282D34" w:rsidRPr="008A16BC" w14:paraId="6701028A" w14:textId="77777777">
        <w:tc>
          <w:tcPr>
            <w:tcW w:w="2160" w:type="dxa"/>
            <w:shd w:val="clear" w:color="auto" w:fill="FFFFFF"/>
            <w:vAlign w:val="center"/>
          </w:tcPr>
          <w:p w14:paraId="31377F25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915727A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Physical Examination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6D58977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4907573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Age-specific physical assessment strategies (e.g., assessing least intrusive areas first).</w:t>
            </w:r>
          </w:p>
          <w:p w14:paraId="39A9FA01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Normal pediatric developmental milestones (Piaget, Erikson).</w:t>
            </w:r>
          </w:p>
          <w:p w14:paraId="48E8B91A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Signs of child neglect or abuse.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311F1E4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2796A55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Perform a comprehensive head-to-toe pediatric physical examination.</w:t>
            </w:r>
          </w:p>
          <w:p w14:paraId="06F102B1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Measure and accurately plot weight, height, and head circumference on pediatric growth charts.</w:t>
            </w:r>
          </w:p>
        </w:tc>
      </w:tr>
      <w:tr w:rsidR="00282D34" w:rsidRPr="008A16BC" w14:paraId="56C43EB3" w14:textId="77777777">
        <w:tc>
          <w:tcPr>
            <w:tcW w:w="2160" w:type="dxa"/>
            <w:shd w:val="clear" w:color="auto" w:fill="F8F9FA"/>
            <w:vAlign w:val="center"/>
          </w:tcPr>
          <w:p w14:paraId="2CCB487C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2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0DA877DE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Vital Signs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130B49AE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33165D5F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Age-specific normal reference ranges for heart rate, respiratory rate, blood pressure, and temperature.</w:t>
            </w:r>
          </w:p>
          <w:p w14:paraId="7C08D216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Guidelines for choosing the correct blood pressure cuff size.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79708841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6D2825F7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Measure pediatric vital signs using age-appropriate tools (e.g., apical pulse for 1 full minute in infants).</w:t>
            </w:r>
          </w:p>
          <w:p w14:paraId="3845546A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Interpret and document vital signs accurately.</w:t>
            </w:r>
          </w:p>
        </w:tc>
      </w:tr>
      <w:tr w:rsidR="00282D34" w:rsidRPr="008A16BC" w14:paraId="1983FDE7" w14:textId="77777777">
        <w:tc>
          <w:tcPr>
            <w:tcW w:w="2160" w:type="dxa"/>
            <w:shd w:val="clear" w:color="auto" w:fill="FFFFFF"/>
            <w:vAlign w:val="center"/>
          </w:tcPr>
          <w:p w14:paraId="41A62AD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EC6AE29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O2 Therapy &amp; Nebulizer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71420E1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6A3E243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Clinical indications for oxygen therapy and nebulized medications.</w:t>
            </w:r>
          </w:p>
          <w:p w14:paraId="6D01237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Signs of respiratory distress (retractions, grunting, nasal flaring).</w:t>
            </w:r>
          </w:p>
          <w:p w14:paraId="5FBA1D8A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Mechanisms of delivery devices (nasal cannula, mask, tent).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20C0F7A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23BA74B8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Set up and monitor age-appropriate oxygen delivery systems.</w:t>
            </w:r>
          </w:p>
          <w:p w14:paraId="431C6F91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Prepare, administer, and evaluate the effect of nebulizer treatments.</w:t>
            </w:r>
          </w:p>
          <w:p w14:paraId="34F0EB6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Assess pre- and post-therapy respiratory status (SpO2, breath sounds).</w:t>
            </w:r>
          </w:p>
        </w:tc>
      </w:tr>
      <w:tr w:rsidR="00282D34" w:rsidRPr="008A16BC" w14:paraId="25A2BC88" w14:textId="77777777">
        <w:tc>
          <w:tcPr>
            <w:tcW w:w="2160" w:type="dxa"/>
            <w:shd w:val="clear" w:color="auto" w:fill="F8F9FA"/>
            <w:vAlign w:val="center"/>
          </w:tcPr>
          <w:p w14:paraId="77B049D3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4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410D2BB9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Fluid Replacement &amp; Electrolyte Imbalance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31532CA7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5EE4D157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Methods for calculating maintenance fluid requirements (e.g., Holliday-Segar method).</w:t>
            </w:r>
          </w:p>
          <w:p w14:paraId="0B3FEC2C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 xml:space="preserve">Signs of mild, moderate, </w:t>
            </w: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and severe dehydration.</w:t>
            </w:r>
          </w:p>
          <w:p w14:paraId="2E54073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Oral rehydration therapy (ORT) guidelines.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68A66BED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538748D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Calculate pediatric IV infusion rates and daily fluid requirements.</w:t>
            </w:r>
          </w:p>
          <w:p w14:paraId="0802A04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 xml:space="preserve">Assess skin turgor, mucous membranes, and fontanelles </w:t>
            </w: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for hydration status.</w:t>
            </w:r>
          </w:p>
          <w:p w14:paraId="67CC59E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Monitor hourly Intake/Output (I/O) (e.g., weighing diapers).</w:t>
            </w:r>
          </w:p>
        </w:tc>
      </w:tr>
      <w:tr w:rsidR="00282D34" w:rsidRPr="008A16BC" w14:paraId="69658112" w14:textId="77777777">
        <w:tc>
          <w:tcPr>
            <w:tcW w:w="2160" w:type="dxa"/>
            <w:shd w:val="clear" w:color="auto" w:fill="FFFFFF"/>
            <w:vAlign w:val="center"/>
          </w:tcPr>
          <w:p w14:paraId="6F27624E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4F32D51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Family-Centered Care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01E5452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769583BC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Core principles of Family-Centered Care (FCC) and atraumatic care.</w:t>
            </w:r>
          </w:p>
          <w:p w14:paraId="60EBBB1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The developmental stages of separation anxiety (protest, despair, denial).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E75E5BB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1BFB187E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Actively involve parents/caregivers in clinical decision-making and bedside care.</w:t>
            </w:r>
          </w:p>
          <w:p w14:paraId="0AE7604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Practice therapeutic play and communication to minimize pediatric stress during procedures.</w:t>
            </w:r>
          </w:p>
        </w:tc>
      </w:tr>
      <w:tr w:rsidR="00282D34" w:rsidRPr="008A16BC" w14:paraId="385935BD" w14:textId="77777777">
        <w:tc>
          <w:tcPr>
            <w:tcW w:w="2160" w:type="dxa"/>
            <w:shd w:val="clear" w:color="auto" w:fill="F8F9FA"/>
            <w:vAlign w:val="center"/>
          </w:tcPr>
          <w:p w14:paraId="7615845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6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3283515B" w14:textId="34C62438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 xml:space="preserve"> Medication 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72D4CFD2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69359B3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Pediatric safe dosage calculation formulas (mg/kg/dose or mg/kg/day).</w:t>
            </w:r>
          </w:p>
          <w:p w14:paraId="48910EA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The 'six rights' of pediatric medication administration.</w:t>
            </w:r>
          </w:p>
          <w:p w14:paraId="7FEC3644" w14:textId="797B1F4E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Safe injection sites</w:t>
            </w:r>
            <w:r w:rsidR="008A16BC" w:rsidRPr="008A16BC">
              <w:rPr>
                <w:rFonts w:asciiTheme="majorBidi" w:hAnsiTheme="majorBidi" w:cstheme="majorBidi"/>
                <w:b/>
                <w:bCs/>
                <w:color w:val="EE0000"/>
                <w:sz w:val="20"/>
              </w:rPr>
              <w:t xml:space="preserve"> </w:t>
            </w:r>
            <w:r w:rsidRPr="008A16BC">
              <w:rPr>
                <w:rFonts w:asciiTheme="majorBidi" w:hAnsiTheme="majorBidi" w:cstheme="majorBidi"/>
                <w:sz w:val="20"/>
              </w:rPr>
              <w:t>based on age (e.g., vastus lateralis for infants).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23EADCD8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42713FA" w14:textId="58AA1FC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 xml:space="preserve">Correctly calculate, prepare, and administer 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>(</w:t>
            </w:r>
            <w:r w:rsidRPr="008A16BC">
              <w:rPr>
                <w:rFonts w:asciiTheme="majorBidi" w:hAnsiTheme="majorBidi" w:cstheme="majorBidi"/>
                <w:sz w:val="20"/>
              </w:rPr>
              <w:t xml:space="preserve">oral, 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>topical)</w:t>
            </w:r>
            <w:r w:rsidR="008A16BC" w:rsidRPr="008A16BC">
              <w:rPr>
                <w:rFonts w:asciiTheme="majorBidi" w:hAnsiTheme="majorBidi" w:cstheme="majorBidi"/>
                <w:b/>
                <w:bCs/>
                <w:color w:val="EE0000"/>
                <w:sz w:val="20"/>
              </w:rPr>
              <w:t>only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8A16BC">
              <w:rPr>
                <w:rFonts w:asciiTheme="majorBidi" w:hAnsiTheme="majorBidi" w:cstheme="majorBidi"/>
                <w:sz w:val="20"/>
              </w:rPr>
              <w:t>pediatric medications.</w:t>
            </w:r>
          </w:p>
          <w:p w14:paraId="6A361890" w14:textId="2A471BD8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Manage and inspect peripheral IV catheter sites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 xml:space="preserve"> </w:t>
            </w:r>
            <w:r w:rsidR="008A16BC" w:rsidRPr="008A16BC">
              <w:rPr>
                <w:rFonts w:asciiTheme="majorBidi" w:hAnsiTheme="majorBidi" w:cstheme="majorBidi"/>
                <w:b/>
                <w:bCs/>
                <w:sz w:val="20"/>
                <w:highlight w:val="yellow"/>
              </w:rPr>
              <w:t>with supervision</w:t>
            </w:r>
          </w:p>
        </w:tc>
      </w:tr>
    </w:tbl>
    <w:p w14:paraId="516F5CF0" w14:textId="77777777" w:rsidR="00282D34" w:rsidRPr="008A16BC" w:rsidRDefault="00000000">
      <w:pPr>
        <w:rPr>
          <w:rFonts w:asciiTheme="majorBidi" w:hAnsiTheme="majorBidi" w:cstheme="majorBidi"/>
        </w:rPr>
      </w:pPr>
      <w:r w:rsidRPr="008A16BC">
        <w:rPr>
          <w:rFonts w:asciiTheme="majorBidi" w:hAnsiTheme="majorBidi" w:cstheme="majorBidi"/>
        </w:rPr>
        <w:br w:type="page"/>
      </w:r>
    </w:p>
    <w:p w14:paraId="384D55C1" w14:textId="77777777" w:rsidR="00282D34" w:rsidRPr="008A16BC" w:rsidRDefault="00000000">
      <w:pPr>
        <w:pStyle w:val="Heading1"/>
        <w:rPr>
          <w:rFonts w:asciiTheme="majorBidi" w:hAnsiTheme="majorBidi"/>
        </w:rPr>
      </w:pPr>
      <w:r w:rsidRPr="008A16BC">
        <w:rPr>
          <w:rFonts w:asciiTheme="majorBidi" w:hAnsiTheme="majorBidi"/>
          <w:color w:val="2D3E50"/>
        </w:rPr>
        <w:lastRenderedPageBreak/>
        <w:t>2. Neonatal Intensive Care Unit (NICU) &amp; Nursery</w:t>
      </w:r>
    </w:p>
    <w:p w14:paraId="09DF9C8A" w14:textId="77777777" w:rsidR="00282D34" w:rsidRPr="008A16BC" w:rsidRDefault="00000000">
      <w:pPr>
        <w:rPr>
          <w:rFonts w:asciiTheme="majorBidi" w:hAnsiTheme="majorBidi" w:cstheme="majorBidi"/>
        </w:rPr>
      </w:pPr>
      <w:r w:rsidRPr="008A16BC">
        <w:rPr>
          <w:rFonts w:asciiTheme="majorBidi" w:hAnsiTheme="majorBidi" w:cstheme="majorBidi"/>
        </w:rPr>
        <w:t>This section covers the specialized physical and physiological assessment of newborns, as well as critical care requirements for high-risk neonates.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1766"/>
        <w:gridCol w:w="2744"/>
        <w:gridCol w:w="2935"/>
      </w:tblGrid>
      <w:tr w:rsidR="00282D34" w:rsidRPr="008A16BC" w14:paraId="5E5660E7" w14:textId="77777777">
        <w:tc>
          <w:tcPr>
            <w:tcW w:w="576" w:type="dxa"/>
            <w:shd w:val="clear" w:color="auto" w:fill="2D3E50"/>
            <w:vAlign w:val="center"/>
          </w:tcPr>
          <w:p w14:paraId="6285224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#</w:t>
            </w:r>
          </w:p>
        </w:tc>
        <w:tc>
          <w:tcPr>
            <w:tcW w:w="1872" w:type="dxa"/>
            <w:shd w:val="clear" w:color="auto" w:fill="2D3E50"/>
            <w:vAlign w:val="center"/>
          </w:tcPr>
          <w:p w14:paraId="288147A7" w14:textId="15084FB8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 xml:space="preserve">Topic </w:t>
            </w:r>
          </w:p>
        </w:tc>
        <w:tc>
          <w:tcPr>
            <w:tcW w:w="3312" w:type="dxa"/>
            <w:shd w:val="clear" w:color="auto" w:fill="2D3E50"/>
            <w:vAlign w:val="center"/>
          </w:tcPr>
          <w:p w14:paraId="02A6922F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Knowledge Needed</w:t>
            </w:r>
          </w:p>
        </w:tc>
        <w:tc>
          <w:tcPr>
            <w:tcW w:w="3600" w:type="dxa"/>
            <w:shd w:val="clear" w:color="auto" w:fill="2D3E50"/>
            <w:vAlign w:val="center"/>
          </w:tcPr>
          <w:p w14:paraId="4B42D79C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Skills to Demonstrate</w:t>
            </w:r>
          </w:p>
        </w:tc>
      </w:tr>
      <w:tr w:rsidR="00282D34" w:rsidRPr="008A16BC" w14:paraId="075944C0" w14:textId="77777777">
        <w:tc>
          <w:tcPr>
            <w:tcW w:w="2160" w:type="dxa"/>
            <w:shd w:val="clear" w:color="auto" w:fill="FFFFFF"/>
            <w:vAlign w:val="center"/>
          </w:tcPr>
          <w:p w14:paraId="32D0579C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7DBDBF67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Immediate Care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7364DA69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7F1BE20E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Principles of neonatal thermoregulation and the dangers of cold stress.</w:t>
            </w:r>
          </w:p>
          <w:p w14:paraId="6BBC334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Standard prophylactic newborn medications (Vitamin K, Erythromycin eye ointment).</w:t>
            </w:r>
          </w:p>
          <w:p w14:paraId="2E086FA2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Umbilical cord care principles.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4AF53ED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253355CF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Dry, stimulate, and warm the newborn immediately after birth.</w:t>
            </w:r>
          </w:p>
          <w:p w14:paraId="3D6FAE35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Safely suction the airway (mouth first, then nose) using a bulb syringe.</w:t>
            </w:r>
          </w:p>
          <w:p w14:paraId="007AF017" w14:textId="5FC6B89B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Administer newborn prophylactic medications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 xml:space="preserve"> </w:t>
            </w:r>
            <w:r w:rsidR="008A16BC" w:rsidRPr="008A16BC">
              <w:rPr>
                <w:rFonts w:asciiTheme="majorBidi" w:hAnsiTheme="majorBidi" w:cstheme="majorBidi"/>
                <w:b/>
                <w:bCs/>
                <w:sz w:val="20"/>
                <w:highlight w:val="yellow"/>
              </w:rPr>
              <w:t>with supervision</w:t>
            </w:r>
            <w:r w:rsidRPr="008A16BC">
              <w:rPr>
                <w:rFonts w:asciiTheme="majorBidi" w:hAnsiTheme="majorBidi" w:cstheme="majorBidi"/>
                <w:sz w:val="20"/>
              </w:rPr>
              <w:t>.</w:t>
            </w:r>
          </w:p>
        </w:tc>
      </w:tr>
      <w:tr w:rsidR="00282D34" w:rsidRPr="008A16BC" w14:paraId="39A574AA" w14:textId="77777777">
        <w:tc>
          <w:tcPr>
            <w:tcW w:w="2160" w:type="dxa"/>
            <w:shd w:val="clear" w:color="auto" w:fill="F8F9FA"/>
            <w:vAlign w:val="center"/>
          </w:tcPr>
          <w:p w14:paraId="06AF3B8B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2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0B8BEE8C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APGAR Score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124B1EAE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66E4C2A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The five components of the APGAR scoring system (Appearance, Pulse, Grimace, Activity, Respiration).</w:t>
            </w:r>
          </w:p>
          <w:p w14:paraId="710D57A6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Timing of evaluations (1st and 5th minutes) and clinical significance of scores.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27E879EF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1C9A9EC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Rapidly evaluate and accurately calculate the APGAR score at 1 and 5 minutes post-delivery.</w:t>
            </w:r>
          </w:p>
          <w:p w14:paraId="72C98FF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Recognize low APGAR scores and immediately initiate neonatal resuscitation if needed.</w:t>
            </w:r>
          </w:p>
        </w:tc>
      </w:tr>
      <w:tr w:rsidR="00282D34" w:rsidRPr="008A16BC" w14:paraId="6FE0FAE9" w14:textId="77777777">
        <w:tc>
          <w:tcPr>
            <w:tcW w:w="2160" w:type="dxa"/>
            <w:shd w:val="clear" w:color="auto" w:fill="FFFFFF"/>
            <w:vAlign w:val="center"/>
          </w:tcPr>
          <w:p w14:paraId="1B796791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B86D5EF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Ballard Scale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EC9E467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424C0E32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Physical and neuromuscular maturity criteria of the New Ballard Score.</w:t>
            </w:r>
          </w:p>
          <w:p w14:paraId="7AC978A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Correlation of gestational age with birth weight classifications (SGA, AGA, LGA).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E261BAC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37006522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Perform physical and neuromuscular maturity assessments on the neonate.</w:t>
            </w:r>
          </w:p>
          <w:p w14:paraId="2534A66A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Assign scores and accurately determine estimated gestational age.</w:t>
            </w:r>
          </w:p>
        </w:tc>
      </w:tr>
      <w:tr w:rsidR="00282D34" w:rsidRPr="008A16BC" w14:paraId="17D9B034" w14:textId="77777777">
        <w:tc>
          <w:tcPr>
            <w:tcW w:w="2160" w:type="dxa"/>
            <w:shd w:val="clear" w:color="auto" w:fill="F8F9FA"/>
            <w:vAlign w:val="center"/>
          </w:tcPr>
          <w:p w14:paraId="2506A4A6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4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0AE72C48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Reflexes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619A6D91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7C6A4257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Standard primitive newborn reflexes (Moro, rooting, sucking, palmar/plantar grasp, Babinski, stepping).</w:t>
            </w:r>
          </w:p>
          <w:p w14:paraId="13800EA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Timeline for normal reflex emergence and disappearance.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32BFBB1F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07A578D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Elicit and document primitive reflexes in the newborn.</w:t>
            </w:r>
          </w:p>
          <w:p w14:paraId="707D740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Identify abnormal, asymmetric, or absent reflex responses.</w:t>
            </w:r>
          </w:p>
        </w:tc>
      </w:tr>
      <w:tr w:rsidR="00282D34" w:rsidRPr="008A16BC" w14:paraId="4ADB80CF" w14:textId="77777777">
        <w:tc>
          <w:tcPr>
            <w:tcW w:w="2160" w:type="dxa"/>
            <w:shd w:val="clear" w:color="auto" w:fill="FFFFFF"/>
            <w:vAlign w:val="center"/>
          </w:tcPr>
          <w:p w14:paraId="1549709E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D7219F1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Newborn Assessment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D5A0366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6141398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 xml:space="preserve">Normal vs. abnormal head-to-toe neonatal </w:t>
            </w: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physical findings (e.g., caput succedaneum vs. cephalohematoma, fontanelles, lanugo, vernix).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E487883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5D440138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 xml:space="preserve">Conduct a complete and systematic head-to-toe </w:t>
            </w: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physical assessment of the neonate.</w:t>
            </w:r>
          </w:p>
          <w:p w14:paraId="14EFB410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Measure birth weight, length, and head/chest circumferences.</w:t>
            </w:r>
          </w:p>
        </w:tc>
      </w:tr>
      <w:tr w:rsidR="00282D34" w:rsidRPr="008A16BC" w14:paraId="352DB854" w14:textId="77777777">
        <w:tc>
          <w:tcPr>
            <w:tcW w:w="2160" w:type="dxa"/>
            <w:shd w:val="clear" w:color="auto" w:fill="F8F9FA"/>
            <w:vAlign w:val="center"/>
          </w:tcPr>
          <w:p w14:paraId="61E96B7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lastRenderedPageBreak/>
              <w:t>6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52CCFED6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NICU-Specific Care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1D593794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2B5E875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Pathophysiology of prematurity, respiratory distress syndrome (RDS), and hyperbilirubinemia.</w:t>
            </w:r>
          </w:p>
          <w:p w14:paraId="17A3931E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Principles of phototherapy and gavage feeding.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794FABBB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07C20DF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Safely monitor and position a neonate receiving phototherapy (ensuring eye and gonad protection).</w:t>
            </w:r>
          </w:p>
          <w:p w14:paraId="3505A8E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  <w:highlight w:val="yellow"/>
              </w:rPr>
              <w:t>Assist with</w:t>
            </w:r>
            <w:r w:rsidRPr="008A16BC">
              <w:rPr>
                <w:rFonts w:asciiTheme="majorBidi" w:hAnsiTheme="majorBidi" w:cstheme="majorBidi"/>
                <w:sz w:val="20"/>
              </w:rPr>
              <w:t xml:space="preserve"> orogastric/nasogastric tube placement and administer gavage feedings.</w:t>
            </w:r>
          </w:p>
        </w:tc>
      </w:tr>
    </w:tbl>
    <w:p w14:paraId="36055103" w14:textId="77777777" w:rsidR="00282D34" w:rsidRPr="008A16BC" w:rsidRDefault="00000000">
      <w:pPr>
        <w:rPr>
          <w:rFonts w:asciiTheme="majorBidi" w:hAnsiTheme="majorBidi" w:cstheme="majorBidi"/>
        </w:rPr>
      </w:pPr>
      <w:r w:rsidRPr="008A16BC">
        <w:rPr>
          <w:rFonts w:asciiTheme="majorBidi" w:hAnsiTheme="majorBidi" w:cstheme="majorBidi"/>
        </w:rPr>
        <w:br w:type="page"/>
      </w:r>
    </w:p>
    <w:p w14:paraId="05019DCC" w14:textId="77777777" w:rsidR="00282D34" w:rsidRPr="008A16BC" w:rsidRDefault="00000000">
      <w:pPr>
        <w:pStyle w:val="Heading1"/>
        <w:rPr>
          <w:rFonts w:asciiTheme="majorBidi" w:hAnsiTheme="majorBidi"/>
        </w:rPr>
      </w:pPr>
      <w:r w:rsidRPr="008A16BC">
        <w:rPr>
          <w:rFonts w:asciiTheme="majorBidi" w:hAnsiTheme="majorBidi"/>
          <w:color w:val="2D3E50"/>
        </w:rPr>
        <w:lastRenderedPageBreak/>
        <w:t>3. Health Centre (Primary Care / MCH)</w:t>
      </w:r>
    </w:p>
    <w:p w14:paraId="2A0F51A9" w14:textId="77777777" w:rsidR="00282D34" w:rsidRPr="008A16BC" w:rsidRDefault="00000000">
      <w:pPr>
        <w:rPr>
          <w:rFonts w:asciiTheme="majorBidi" w:hAnsiTheme="majorBidi" w:cstheme="majorBidi"/>
        </w:rPr>
      </w:pPr>
      <w:r w:rsidRPr="008A16BC">
        <w:rPr>
          <w:rFonts w:asciiTheme="majorBidi" w:hAnsiTheme="majorBidi" w:cstheme="majorBidi"/>
        </w:rPr>
        <w:t>This section focuses on community-based, preventative, and primary care interventions for infants and young children.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1861"/>
        <w:gridCol w:w="2856"/>
        <w:gridCol w:w="2727"/>
      </w:tblGrid>
      <w:tr w:rsidR="00282D34" w:rsidRPr="008A16BC" w14:paraId="2392950A" w14:textId="77777777">
        <w:tc>
          <w:tcPr>
            <w:tcW w:w="576" w:type="dxa"/>
            <w:shd w:val="clear" w:color="auto" w:fill="2D3E50"/>
            <w:vAlign w:val="center"/>
          </w:tcPr>
          <w:p w14:paraId="28BC7CDD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#</w:t>
            </w:r>
          </w:p>
        </w:tc>
        <w:tc>
          <w:tcPr>
            <w:tcW w:w="1872" w:type="dxa"/>
            <w:shd w:val="clear" w:color="auto" w:fill="2D3E50"/>
            <w:vAlign w:val="center"/>
          </w:tcPr>
          <w:p w14:paraId="620EF42A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Topic / Area</w:t>
            </w:r>
          </w:p>
        </w:tc>
        <w:tc>
          <w:tcPr>
            <w:tcW w:w="3312" w:type="dxa"/>
            <w:shd w:val="clear" w:color="auto" w:fill="2D3E50"/>
            <w:vAlign w:val="center"/>
          </w:tcPr>
          <w:p w14:paraId="72B9CCD7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Knowledge Needed</w:t>
            </w:r>
          </w:p>
        </w:tc>
        <w:tc>
          <w:tcPr>
            <w:tcW w:w="3600" w:type="dxa"/>
            <w:shd w:val="clear" w:color="auto" w:fill="2D3E50"/>
            <w:vAlign w:val="center"/>
          </w:tcPr>
          <w:p w14:paraId="5CF44F4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color w:val="FFFFFF"/>
              </w:rPr>
              <w:t>Skills to Demonstrate</w:t>
            </w:r>
          </w:p>
        </w:tc>
      </w:tr>
      <w:tr w:rsidR="00282D34" w:rsidRPr="008A16BC" w14:paraId="4E9665E7" w14:textId="77777777">
        <w:tc>
          <w:tcPr>
            <w:tcW w:w="2160" w:type="dxa"/>
            <w:shd w:val="clear" w:color="auto" w:fill="FFFFFF"/>
            <w:vAlign w:val="center"/>
          </w:tcPr>
          <w:p w14:paraId="496C5B3A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CF49B8E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Immunization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F008E79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43668369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The National Pediatric Immunization Schedule (vaccines, appropriate ages, doses, and routes).</w:t>
            </w:r>
          </w:p>
          <w:p w14:paraId="4ECC299C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Vaccine storage rules (maintaining the 'cold chain').</w:t>
            </w:r>
          </w:p>
          <w:p w14:paraId="0965370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Common contraindications and potential adverse reactions.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AFD4DA8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3298E366" w14:textId="35BD1EC3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Prepare and safely administer pediatric vaccines (oral, IM, subcutaneous)</w:t>
            </w:r>
            <w:r w:rsidR="008A16BC" w:rsidRPr="008A16BC">
              <w:rPr>
                <w:rFonts w:asciiTheme="majorBidi" w:hAnsiTheme="majorBidi" w:cstheme="majorBidi"/>
                <w:sz w:val="20"/>
              </w:rPr>
              <w:t xml:space="preserve"> </w:t>
            </w:r>
            <w:r w:rsidR="008A16BC" w:rsidRPr="008A16BC">
              <w:rPr>
                <w:rFonts w:asciiTheme="majorBidi" w:hAnsiTheme="majorBidi" w:cstheme="majorBidi"/>
                <w:b/>
                <w:bCs/>
                <w:sz w:val="20"/>
                <w:highlight w:val="yellow"/>
              </w:rPr>
              <w:t>with supervision</w:t>
            </w:r>
            <w:r w:rsidRPr="008A16BC">
              <w:rPr>
                <w:rFonts w:asciiTheme="majorBidi" w:hAnsiTheme="majorBidi" w:cstheme="majorBidi"/>
                <w:b/>
                <w:bCs/>
                <w:sz w:val="20"/>
                <w:highlight w:val="yellow"/>
              </w:rPr>
              <w:t>.</w:t>
            </w:r>
          </w:p>
          <w:p w14:paraId="2E5890D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Provide clear educational counseling to parents regarding post-vaccination care and side effects.</w:t>
            </w:r>
          </w:p>
          <w:p w14:paraId="16B8E784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Properly document immunizations in clinic registries.</w:t>
            </w:r>
          </w:p>
        </w:tc>
      </w:tr>
      <w:tr w:rsidR="00282D34" w:rsidRPr="008A16BC" w14:paraId="72744AA8" w14:textId="77777777">
        <w:tc>
          <w:tcPr>
            <w:tcW w:w="2160" w:type="dxa"/>
            <w:shd w:val="clear" w:color="auto" w:fill="F8F9FA"/>
            <w:vAlign w:val="center"/>
          </w:tcPr>
          <w:p w14:paraId="7AD03C89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2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21AF4A02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National Screening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5CB6FA7A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72B40CA8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Purpose, timing, and targets of national neonatal screening programs (e.g., PKU, congenital hypothyroidism, G6PD, hearing defects).</w:t>
            </w:r>
          </w:p>
          <w:p w14:paraId="00569048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Guidelines for capillary blood sampling.</w:t>
            </w:r>
          </w:p>
        </w:tc>
        <w:tc>
          <w:tcPr>
            <w:tcW w:w="2160" w:type="dxa"/>
            <w:shd w:val="clear" w:color="auto" w:fill="F8F9FA"/>
            <w:vAlign w:val="center"/>
          </w:tcPr>
          <w:p w14:paraId="13E9C864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0AB95A95" w14:textId="2255F447" w:rsidR="00282D34" w:rsidRPr="008A16BC" w:rsidRDefault="008A16BC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Assist</w:t>
            </w:r>
            <w:r w:rsidR="00000000" w:rsidRPr="008A16BC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8A16BC">
              <w:rPr>
                <w:rFonts w:asciiTheme="majorBidi" w:hAnsiTheme="majorBidi" w:cstheme="majorBidi"/>
                <w:sz w:val="20"/>
              </w:rPr>
              <w:t xml:space="preserve">with </w:t>
            </w:r>
            <w:r w:rsidR="00000000" w:rsidRPr="008A16BC">
              <w:rPr>
                <w:rFonts w:asciiTheme="majorBidi" w:hAnsiTheme="majorBidi" w:cstheme="majorBidi"/>
                <w:sz w:val="20"/>
              </w:rPr>
              <w:t>a capillary heel stick on an infant safely.</w:t>
            </w:r>
          </w:p>
          <w:p w14:paraId="03D4B518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Correctly collect blood spots on specialized filter paper (Guthrie card) without contamination.</w:t>
            </w:r>
          </w:p>
          <w:p w14:paraId="123410C7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Facilitate or coordinate objective neonatal hearing and visual screenings.</w:t>
            </w:r>
          </w:p>
        </w:tc>
      </w:tr>
      <w:tr w:rsidR="00282D34" w:rsidRPr="008A16BC" w14:paraId="23543A6C" w14:textId="77777777">
        <w:tc>
          <w:tcPr>
            <w:tcW w:w="2160" w:type="dxa"/>
            <w:shd w:val="clear" w:color="auto" w:fill="FFFFFF"/>
            <w:vAlign w:val="center"/>
          </w:tcPr>
          <w:p w14:paraId="72611368" w14:textId="77777777" w:rsidR="00282D34" w:rsidRPr="008A16BC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1328348" w14:textId="77777777" w:rsidR="00282D34" w:rsidRPr="008A16BC" w:rsidRDefault="00000000">
            <w:pPr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b/>
                <w:sz w:val="20"/>
              </w:rPr>
              <w:t>Well-Child Care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9E3166E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77E0596B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Normal growth and developmental progression in infants and toddlers.</w:t>
            </w:r>
          </w:p>
          <w:p w14:paraId="74D34771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Guidelines for infant nutrition (exclusive breastfeeding, safe weaning/complementary feeding introduction).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6868B7B4" w14:textId="77777777" w:rsidR="00282D34" w:rsidRPr="008A16BC" w:rsidRDefault="00282D34">
            <w:pPr>
              <w:rPr>
                <w:rFonts w:asciiTheme="majorBidi" w:hAnsiTheme="majorBidi" w:cstheme="majorBidi"/>
              </w:rPr>
            </w:pPr>
          </w:p>
          <w:p w14:paraId="145C65C3" w14:textId="645AE6DA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Plot child development data using standardized tools.</w:t>
            </w:r>
          </w:p>
          <w:p w14:paraId="37B8967F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Measure, plot, and interpret growth curves on WHO/national growth charts.</w:t>
            </w:r>
          </w:p>
          <w:p w14:paraId="3F7269DE" w14:textId="77777777" w:rsidR="00282D34" w:rsidRPr="008A16BC" w:rsidRDefault="00000000">
            <w:pPr>
              <w:pStyle w:val="ListBullet"/>
              <w:spacing w:after="40" w:line="276" w:lineRule="auto"/>
              <w:rPr>
                <w:rFonts w:asciiTheme="majorBidi" w:hAnsiTheme="majorBidi" w:cstheme="majorBidi"/>
              </w:rPr>
            </w:pPr>
            <w:r w:rsidRPr="008A16BC">
              <w:rPr>
                <w:rFonts w:asciiTheme="majorBidi" w:hAnsiTheme="majorBidi" w:cstheme="majorBidi"/>
                <w:sz w:val="20"/>
              </w:rPr>
              <w:t>Deliver developmental-stage-appropriate safety and nutritional counseling to parents.</w:t>
            </w:r>
          </w:p>
        </w:tc>
      </w:tr>
    </w:tbl>
    <w:p w14:paraId="715213BA" w14:textId="77777777" w:rsidR="001501A9" w:rsidRPr="008A16BC" w:rsidRDefault="001501A9">
      <w:pPr>
        <w:rPr>
          <w:rFonts w:asciiTheme="majorBidi" w:hAnsiTheme="majorBidi" w:cstheme="majorBidi"/>
        </w:rPr>
      </w:pPr>
    </w:p>
    <w:sectPr w:rsidR="001501A9" w:rsidRPr="008A16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9808739">
    <w:abstractNumId w:val="8"/>
  </w:num>
  <w:num w:numId="2" w16cid:durableId="451553797">
    <w:abstractNumId w:val="6"/>
  </w:num>
  <w:num w:numId="3" w16cid:durableId="888683128">
    <w:abstractNumId w:val="5"/>
  </w:num>
  <w:num w:numId="4" w16cid:durableId="483401612">
    <w:abstractNumId w:val="4"/>
  </w:num>
  <w:num w:numId="5" w16cid:durableId="527068858">
    <w:abstractNumId w:val="7"/>
  </w:num>
  <w:num w:numId="6" w16cid:durableId="1066026276">
    <w:abstractNumId w:val="3"/>
  </w:num>
  <w:num w:numId="7" w16cid:durableId="1301959584">
    <w:abstractNumId w:val="2"/>
  </w:num>
  <w:num w:numId="8" w16cid:durableId="2013138217">
    <w:abstractNumId w:val="1"/>
  </w:num>
  <w:num w:numId="9" w16cid:durableId="15815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1NjYzMjYwtrA0NTJX0lEKTi0uzszPAykwrAUAh/HKKiwAAAA="/>
  </w:docVars>
  <w:rsids>
    <w:rsidRoot w:val="00B47730"/>
    <w:rsid w:val="00034616"/>
    <w:rsid w:val="0006063C"/>
    <w:rsid w:val="001501A9"/>
    <w:rsid w:val="0015074B"/>
    <w:rsid w:val="00282D34"/>
    <w:rsid w:val="0029639D"/>
    <w:rsid w:val="00326F90"/>
    <w:rsid w:val="008A16BC"/>
    <w:rsid w:val="00985CA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917BEB"/>
  <w14:defaultImageDpi w14:val="300"/>
  <w15:docId w15:val="{FAAAA046-6E6B-41D1-A8F2-307E1777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Razan Husami</cp:lastModifiedBy>
  <cp:revision>2</cp:revision>
  <dcterms:created xsi:type="dcterms:W3CDTF">2013-12-23T23:15:00Z</dcterms:created>
  <dcterms:modified xsi:type="dcterms:W3CDTF">2026-07-14T20:27:00Z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11afc3f7-74eb-4fff-bacd-16bd6a45306f</vt:lpwstr>
  </property>
</Properties>
</file>