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Clinical Competence II</w:t>
      </w:r>
    </w:p>
    <w:p>
      <w:pPr>
        <w:pStyle w:val="ListBullet"/>
      </w:pPr>
      <w:r>
        <w:t>Complex patients</w:t>
      </w:r>
    </w:p>
    <w:p>
      <w:pPr>
        <w:pStyle w:val="ListBullet"/>
      </w:pPr>
      <w:r>
        <w:t>Prioritization of care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