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88713" w14:textId="5D45EB97" w:rsidR="00BB7CF7" w:rsidRDefault="00BB7CF7">
      <w:pPr>
        <w:rPr>
          <w:lang w:val="en-GB"/>
        </w:rPr>
      </w:pPr>
      <w:bookmarkStart w:id="0" w:name="_GoBack"/>
      <w:bookmarkEnd w:id="0"/>
    </w:p>
    <w:p w14:paraId="5E6BD5F2" w14:textId="69FB99CD" w:rsidR="005A2FE2" w:rsidRDefault="005A2FE2">
      <w:pPr>
        <w:rPr>
          <w:lang w:val="en-GB"/>
        </w:rPr>
      </w:pPr>
    </w:p>
    <w:tbl>
      <w:tblPr>
        <w:tblStyle w:val="TableGrid"/>
        <w:tblW w:w="9630" w:type="dxa"/>
        <w:tblInd w:w="-1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87"/>
        <w:gridCol w:w="7143"/>
      </w:tblGrid>
      <w:tr w:rsidR="005A2FE2" w:rsidRPr="00A6357D" w14:paraId="493536B0" w14:textId="77777777" w:rsidTr="00B1420B">
        <w:tc>
          <w:tcPr>
            <w:tcW w:w="963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12" w:color="auto" w:fill="FFFFFF" w:themeFill="background1"/>
          </w:tcPr>
          <w:p w14:paraId="001BE538" w14:textId="77777777" w:rsidR="005A2FE2" w:rsidRPr="00A6357D" w:rsidRDefault="005A2FE2" w:rsidP="00B1420B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A6357D">
              <w:rPr>
                <w:rFonts w:asciiTheme="majorBidi" w:hAnsiTheme="majorBidi" w:cstheme="majorBidi"/>
                <w:b/>
                <w:bCs/>
                <w:lang w:bidi="ar-JO"/>
              </w:rPr>
              <w:t>Educational Sources</w:t>
            </w:r>
          </w:p>
        </w:tc>
      </w:tr>
      <w:tr w:rsidR="005A2FE2" w:rsidRPr="00A6357D" w14:paraId="2635CDCE" w14:textId="77777777" w:rsidTr="00B1420B">
        <w:tc>
          <w:tcPr>
            <w:tcW w:w="248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7FD143" w14:textId="77777777" w:rsidR="005A2FE2" w:rsidRPr="00A6357D" w:rsidRDefault="005A2FE2" w:rsidP="00B1420B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A6357D">
              <w:rPr>
                <w:rFonts w:asciiTheme="majorBidi" w:hAnsiTheme="majorBidi" w:cstheme="majorBidi"/>
                <w:b/>
                <w:bCs/>
                <w:lang w:bidi="ar-JO"/>
              </w:rPr>
              <w:t>Required Text(s)</w:t>
            </w:r>
          </w:p>
        </w:tc>
        <w:tc>
          <w:tcPr>
            <w:tcW w:w="714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FFFFFF"/>
          </w:tcPr>
          <w:p w14:paraId="578BB89A" w14:textId="77777777" w:rsidR="005A2FE2" w:rsidRPr="00A6357D" w:rsidRDefault="005A2FE2" w:rsidP="00B1420B">
            <w:pPr>
              <w:jc w:val="both"/>
              <w:rPr>
                <w:rFonts w:asciiTheme="majorBidi" w:hAnsiTheme="majorBidi" w:cstheme="majorBidi"/>
                <w:color w:val="A6A6A6" w:themeColor="background1" w:themeShade="A6"/>
                <w:lang w:bidi="ar-JO"/>
              </w:rPr>
            </w:pPr>
            <w:r w:rsidRPr="00A6357D">
              <w:rPr>
                <w:rStyle w:val="normaltextrun"/>
                <w:rFonts w:asciiTheme="majorBidi" w:hAnsiTheme="majorBidi" w:cstheme="majorBidi"/>
              </w:rPr>
              <w:t>Critical Care Nursing: Diagnosis and Management, 9th Edition by   Linda D. </w:t>
            </w:r>
            <w:proofErr w:type="spellStart"/>
            <w:r w:rsidRPr="00A6357D">
              <w:rPr>
                <w:rStyle w:val="normaltextrun"/>
                <w:rFonts w:asciiTheme="majorBidi" w:hAnsiTheme="majorBidi" w:cstheme="majorBidi"/>
              </w:rPr>
              <w:t>Urden</w:t>
            </w:r>
            <w:proofErr w:type="spellEnd"/>
            <w:r w:rsidRPr="00A6357D">
              <w:rPr>
                <w:rStyle w:val="normaltextrun"/>
                <w:rFonts w:asciiTheme="majorBidi" w:hAnsiTheme="majorBidi" w:cstheme="majorBidi"/>
              </w:rPr>
              <w:t>, Kathleen M. Stacy, Mary E. Lough, Kimberly </w:t>
            </w:r>
            <w:proofErr w:type="spellStart"/>
            <w:r w:rsidRPr="00A6357D">
              <w:rPr>
                <w:rStyle w:val="normaltextrun"/>
                <w:rFonts w:asciiTheme="majorBidi" w:hAnsiTheme="majorBidi" w:cstheme="majorBidi"/>
              </w:rPr>
              <w:t>Sanchezen</w:t>
            </w:r>
            <w:proofErr w:type="spellEnd"/>
            <w:r w:rsidRPr="00A6357D">
              <w:rPr>
                <w:rStyle w:val="normaltextrun"/>
                <w:rFonts w:asciiTheme="majorBidi" w:hAnsiTheme="majorBidi" w:cstheme="majorBidi"/>
              </w:rPr>
              <w:t> (2022)</w:t>
            </w:r>
            <w:r w:rsidRPr="00A6357D">
              <w:rPr>
                <w:rStyle w:val="eop"/>
                <w:rFonts w:asciiTheme="majorBidi" w:hAnsiTheme="majorBidi" w:cstheme="majorBidi"/>
              </w:rPr>
              <w:t> </w:t>
            </w:r>
          </w:p>
        </w:tc>
      </w:tr>
      <w:tr w:rsidR="005A2FE2" w:rsidRPr="00A6357D" w14:paraId="76DFF966" w14:textId="77777777" w:rsidTr="00B1420B">
        <w:tc>
          <w:tcPr>
            <w:tcW w:w="2487" w:type="dxa"/>
            <w:shd w:val="clear" w:color="auto" w:fill="D9D9D9" w:themeFill="background1" w:themeFillShade="D9"/>
          </w:tcPr>
          <w:p w14:paraId="792513DA" w14:textId="77777777" w:rsidR="005A2FE2" w:rsidRPr="00A6357D" w:rsidRDefault="005A2FE2" w:rsidP="00B1420B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A6357D">
              <w:rPr>
                <w:rFonts w:asciiTheme="majorBidi" w:hAnsiTheme="majorBidi" w:cstheme="majorBidi"/>
                <w:b/>
                <w:bCs/>
                <w:lang w:bidi="ar-JO"/>
              </w:rPr>
              <w:t>Supportive References</w:t>
            </w:r>
          </w:p>
        </w:tc>
        <w:tc>
          <w:tcPr>
            <w:tcW w:w="714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</w:tcPr>
          <w:p w14:paraId="1E777EFE" w14:textId="77777777" w:rsidR="005A2FE2" w:rsidRPr="00A6357D" w:rsidRDefault="005A2FE2" w:rsidP="00B1420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ajorBidi" w:hAnsiTheme="majorBidi" w:cstheme="majorBidi"/>
              </w:rPr>
            </w:pPr>
            <w:r w:rsidRPr="00A6357D">
              <w:rPr>
                <w:rStyle w:val="normaltextrun"/>
                <w:rFonts w:asciiTheme="majorBidi" w:hAnsiTheme="majorBidi" w:cstheme="majorBidi"/>
                <w:lang w:val="en-GB"/>
              </w:rPr>
              <w:t xml:space="preserve">Harding, M., </w:t>
            </w:r>
            <w:proofErr w:type="spellStart"/>
            <w:r w:rsidRPr="00A6357D">
              <w:rPr>
                <w:rStyle w:val="normaltextrun"/>
                <w:rFonts w:asciiTheme="majorBidi" w:hAnsiTheme="majorBidi" w:cstheme="majorBidi"/>
                <w:lang w:val="en-GB"/>
              </w:rPr>
              <w:t>Kwong</w:t>
            </w:r>
            <w:proofErr w:type="spellEnd"/>
            <w:r w:rsidRPr="00A6357D">
              <w:rPr>
                <w:rStyle w:val="normaltextrun"/>
                <w:rFonts w:asciiTheme="majorBidi" w:hAnsiTheme="majorBidi" w:cstheme="majorBidi"/>
                <w:lang w:val="en-GB"/>
              </w:rPr>
              <w:t xml:space="preserve">, J., </w:t>
            </w:r>
            <w:proofErr w:type="spellStart"/>
            <w:r w:rsidRPr="00A6357D">
              <w:rPr>
                <w:rStyle w:val="normaltextrun"/>
                <w:rFonts w:asciiTheme="majorBidi" w:hAnsiTheme="majorBidi" w:cstheme="majorBidi"/>
                <w:lang w:val="en-GB"/>
              </w:rPr>
              <w:t>Hagler</w:t>
            </w:r>
            <w:proofErr w:type="spellEnd"/>
            <w:r w:rsidRPr="00A6357D">
              <w:rPr>
                <w:rStyle w:val="normaltextrun"/>
                <w:rFonts w:asciiTheme="majorBidi" w:hAnsiTheme="majorBidi" w:cstheme="majorBidi"/>
                <w:lang w:val="en-GB"/>
              </w:rPr>
              <w:t>, D., &amp; </w:t>
            </w:r>
            <w:proofErr w:type="spellStart"/>
            <w:r w:rsidRPr="00A6357D">
              <w:rPr>
                <w:rStyle w:val="normaltextrun"/>
                <w:rFonts w:asciiTheme="majorBidi" w:hAnsiTheme="majorBidi" w:cstheme="majorBidi"/>
                <w:color w:val="2E2E2E"/>
                <w:lang w:val="en-GB"/>
              </w:rPr>
              <w:t>Reinisch</w:t>
            </w:r>
            <w:proofErr w:type="spellEnd"/>
            <w:r w:rsidRPr="00A6357D">
              <w:rPr>
                <w:rStyle w:val="normaltextrun"/>
                <w:rFonts w:asciiTheme="majorBidi" w:hAnsiTheme="majorBidi" w:cstheme="majorBidi"/>
                <w:color w:val="2E2E2E"/>
                <w:sz w:val="27"/>
                <w:szCs w:val="27"/>
                <w:lang w:val="en-GB"/>
              </w:rPr>
              <w:t>, C</w:t>
            </w:r>
            <w:r w:rsidRPr="00A6357D">
              <w:rPr>
                <w:rStyle w:val="normaltextrun"/>
                <w:rFonts w:asciiTheme="majorBidi" w:hAnsiTheme="majorBidi" w:cstheme="majorBidi"/>
                <w:lang w:val="en-GB"/>
              </w:rPr>
              <w:t> (2022). Lewis's Medical-Surgical Nursing: Assessment and management of clinical problems (15th. Ed.). St. Louis, MI: Mosby. Philadelphia,</w:t>
            </w:r>
            <w:r w:rsidRPr="00A6357D">
              <w:rPr>
                <w:rStyle w:val="eop"/>
                <w:rFonts w:asciiTheme="majorBidi" w:hAnsiTheme="majorBidi" w:cstheme="majorBidi"/>
              </w:rPr>
              <w:t> </w:t>
            </w:r>
          </w:p>
          <w:p w14:paraId="694FA638" w14:textId="77777777" w:rsidR="005A2FE2" w:rsidRPr="00A6357D" w:rsidRDefault="005A2FE2" w:rsidP="00B1420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FA8AB48" w14:textId="1D72CC48" w:rsidR="005A2FE2" w:rsidRPr="00A6357D" w:rsidRDefault="005A2FE2" w:rsidP="00B1420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ajorBidi" w:hAnsiTheme="majorBidi" w:cstheme="majorBidi"/>
              </w:rPr>
            </w:pPr>
            <w:r w:rsidRPr="00A6357D">
              <w:rPr>
                <w:rStyle w:val="normaltextrun"/>
                <w:rFonts w:asciiTheme="majorBidi" w:hAnsiTheme="majorBidi" w:cstheme="majorBidi"/>
              </w:rPr>
              <w:t>Lippincott Procedures 2021</w:t>
            </w:r>
            <w:r w:rsidRPr="00A6357D">
              <w:rPr>
                <w:rStyle w:val="eop"/>
                <w:rFonts w:asciiTheme="majorBidi" w:hAnsiTheme="majorBidi" w:cstheme="majorBidi"/>
              </w:rPr>
              <w:t> </w:t>
            </w:r>
            <w:hyperlink r:id="rId5" w:history="1">
              <w:r w:rsidRPr="009E10B3">
                <w:rPr>
                  <w:rFonts w:ascii="Calibri" w:hAnsi="Calibri" w:cs="Arial"/>
                  <w:color w:val="0000FF"/>
                  <w:u w:val="single"/>
                </w:rPr>
                <w:t>https://www.wolterskluwer.com/en/solutions/lippincott-solutions</w:t>
              </w:r>
            </w:hyperlink>
          </w:p>
          <w:p w14:paraId="74BFA313" w14:textId="77777777" w:rsidR="005A2FE2" w:rsidRPr="00A6357D" w:rsidRDefault="005A2FE2" w:rsidP="00B1420B">
            <w:pPr>
              <w:rPr>
                <w:rFonts w:asciiTheme="majorBidi" w:hAnsiTheme="majorBidi" w:cstheme="majorBidi"/>
                <w:color w:val="A6A6A6" w:themeColor="background1" w:themeShade="A6"/>
                <w:lang w:bidi="ar-JO"/>
              </w:rPr>
            </w:pPr>
            <w:r w:rsidRPr="00A6357D">
              <w:rPr>
                <w:rStyle w:val="eop"/>
                <w:rFonts w:asciiTheme="majorBidi" w:hAnsiTheme="majorBidi" w:cstheme="majorBidi"/>
                <w:color w:val="A6A6A6"/>
              </w:rPr>
              <w:t> </w:t>
            </w:r>
          </w:p>
        </w:tc>
      </w:tr>
    </w:tbl>
    <w:p w14:paraId="74483518" w14:textId="77777777" w:rsidR="005A2FE2" w:rsidRPr="009E10B3" w:rsidRDefault="005A2FE2">
      <w:pPr>
        <w:rPr>
          <w:lang w:val="en-GB"/>
        </w:rPr>
      </w:pPr>
    </w:p>
    <w:sectPr w:rsidR="005A2FE2" w:rsidRPr="009E1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F5A3A"/>
    <w:multiLevelType w:val="hybridMultilevel"/>
    <w:tmpl w:val="DF0C8B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A0"/>
    <w:rsid w:val="0055378D"/>
    <w:rsid w:val="005A2FE2"/>
    <w:rsid w:val="009373AF"/>
    <w:rsid w:val="009E10B3"/>
    <w:rsid w:val="00B46441"/>
    <w:rsid w:val="00BB7CF7"/>
    <w:rsid w:val="00C2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36AB4"/>
  <w15:chartTrackingRefBased/>
  <w15:docId w15:val="{F5B28EDD-627D-4C63-8A6C-CB98927A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8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8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8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8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8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8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8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8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8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8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8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8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8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8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8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8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8A0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9E10B3"/>
    <w:pPr>
      <w:spacing w:after="0" w:line="240" w:lineRule="auto"/>
    </w:pPr>
    <w:rPr>
      <w:rFonts w:eastAsia="Times New Roman"/>
      <w:kern w:val="0"/>
      <w:sz w:val="22"/>
      <w:szCs w:val="22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E1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5A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5A2FE2"/>
  </w:style>
  <w:style w:type="character" w:customStyle="1" w:styleId="eop">
    <w:name w:val="eop"/>
    <w:basedOn w:val="DefaultParagraphFont"/>
    <w:rsid w:val="005A2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olterskluwer.com/en/solutions/lippincott-solu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Safaa Hammad</dc:creator>
  <cp:keywords/>
  <dc:description/>
  <cp:lastModifiedBy>رهف خالد حسين محمد </cp:lastModifiedBy>
  <cp:revision>2</cp:revision>
  <dcterms:created xsi:type="dcterms:W3CDTF">2026-07-14T11:00:00Z</dcterms:created>
  <dcterms:modified xsi:type="dcterms:W3CDTF">2026-07-14T11:00:00Z</dcterms:modified>
</cp:coreProperties>
</file>