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Evidence-Based Practice</w:t>
      </w:r>
    </w:p>
    <w:p>
      <w:pPr>
        <w:pStyle w:val="ListBullet"/>
      </w:pPr>
      <w:r>
        <w:t>Apply research</w:t>
      </w:r>
    </w:p>
    <w:p>
      <w:pPr>
        <w:pStyle w:val="ListBullet"/>
      </w:pPr>
      <w:r>
        <w:t>Identify gaps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